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PS200066 vom 6. April 2020</w:t>
      </w:r>
    </w:p>
    <w:p>
      <w:r>
        <w:t>ZH Obergericht, 2020-04-06, DE</w:t>
      </w:r>
    </w:p>
    <w:p>
      <w:r>
        <w:rPr>
          <w:b/>
        </w:rPr>
        <w:t xml:space="preserve">Quelle: </w:t>
      </w:r>
      <w:r>
        <w:t>https://mcp.opencaselaw.ch/entscheid/zh_obergericht_PS200066</w:t>
      </w:r>
    </w:p>
    <w:p>
      <w:r>
        <w:t>FR: ZH_OBERGERICHT PS200066 du 6 avril 2020</w:t>
      </w:r>
    </w:p>
    <w:p>
      <w:r>
        <w:t>IT: ZH_OBERGERICHT PS200066 del 6 aprile 2020</w:t>
      </w:r>
    </w:p>
    <w:p>
      <w:pPr>
        <w:pStyle w:val="Heading2"/>
      </w:pPr>
      <w:r>
        <w:t>Erwägungen</w:t>
      </w:r>
    </w:p>
    <w:p>
      <w:r>
        <w:rPr>
          <w:b/>
        </w:rPr>
        <w:t>E. 1</w:t>
      </w:r>
    </w:p>
    <w:p>
      <w:r>
        <w:t>Das Kantonale Steueramt Zürich als Vertreter des Kantons Zürich betrieb Frau A._____ (Beschwerdeführerin) für eine Forderung von Fr. 10'810.– nebst Zins und Kosten (vgl. act. 5/2). Am 10. Februar 2020 erhob die Beschwerdeführe- rin Beschwerde beim Bezirksgericht Zürich als untere kantonale Aufsichtsbehörde über Betreibungsämter (Vorinstanz) und beantragte, die Betreibung bzw. der Zah- lungsbefehl sei für nichtig zu erklären (vgl. act. 5/1). Gleichzeitig verlangte sie von der Vorinstanz mit fünf weiteren Beschwerden, es seien vier weitere Betreibungen des Kantons Zürich, vertreten durch das kantonale Steueramt bzw. Steuerrekurs- gericht, sowie eine Betreibung der Sozialversicherungsanstalt des Kantons Zürich für nichtig zu erklären (vgl. act. 5/3). Die Vorinstanz wies mit sechs inhaltlich glei- 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10'810.– nebst Zins und Kosten. Sie beantragte, die Betreibung bzw. der Zahlungsbefehl sei für nichtig zu erklären und/oder die Vorinstanz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und 5/5/3).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der Gläubiger habe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w:t>
      </w:r>
    </w:p>
    <w:p>
      <w:r>
        <w:t>- 4 - punkte für die von der Beschwerdeführerin behauptete Nichtigkeit der Betreibun- gen vor (vgl. act. 4 E. 3 und 4).</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w:t>
      </w:r>
    </w:p>
    <w:p>
      <w:r>
        <w:t>- 5 - Antrag ist neu und damit unzulässig. Ausserdem fehlt es der oberen kantonalen Aufsichtsbehörde über die Betreibungsämter an der sachlichen Zuständigkeit für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