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PS200062 vom 6. April 2020</w:t>
      </w:r>
    </w:p>
    <w:p>
      <w:r>
        <w:t>ZH Obergericht, 2020-04-06, DE</w:t>
      </w:r>
    </w:p>
    <w:p>
      <w:r>
        <w:rPr>
          <w:b/>
        </w:rPr>
        <w:t xml:space="preserve">Quelle: </w:t>
      </w:r>
      <w:r>
        <w:t>https://mcp.opencaselaw.ch/entscheid/zh_obergericht_PS200062</w:t>
      </w:r>
    </w:p>
    <w:p>
      <w:r>
        <w:t>FR: ZH_OBERGERICHT PS200062 du 6 avril 2020</w:t>
      </w:r>
    </w:p>
    <w:p>
      <w:r>
        <w:t>IT: ZH_OBERGERICHT PS200062 del 6 aprile 2020</w:t>
      </w:r>
    </w:p>
    <w:p>
      <w:pPr>
        <w:pStyle w:val="Heading2"/>
      </w:pPr>
      <w:r>
        <w:t>Erwägungen</w:t>
      </w:r>
    </w:p>
    <w:p>
      <w:r>
        <w:rPr>
          <w:b/>
        </w:rPr>
        <w:t>E. 1</w:t>
      </w:r>
    </w:p>
    <w:p>
      <w:r>
        <w:t>Frau A._____ (Beschwerdeführerin) betrieb als angebliche Vertreterin der Stockwerkeigentümergemeinschaft B._____-Str. ... in ... Zürich Frau B._____ (Beschwerdegegnerin) für eine Forderung von Fr. 100'000.– nebst Zins; als Grund wurde "Miete für Loggia" angegeben (vgl. act. 5/2/1). Am 14. Januar 2020 reichte die Beschwerdegegnerin beim Bezirksgericht Zürich als untere kantonale Aufsichtsbehörde über die Betreibungsämter (Vorinstanz) Beschwerde ein und beantragte, die Betreibung samt Zahlungsbefehl sei aufzuheben (vgl. act. 5/1). Nach durchgeführtem Verfahren hiess die Vorinstanz die Beschwerde mit Be- schluss vom 24. Februar 2020 gut, hob die Betreibung einschliesslich des darin ergangenen Zahlungsbefehls als ungültig auf und wies das Betreibungsamt an, die Betreibung zu löschen (vgl. act. 4). Dagegen erhob die Beschwerdeführerin am 10. März 2020 (Poststempel) recht- zeitig Beschwerde beim Obergericht als obere kantonale Aufsichtsbehörde über die Betreibungsämter. Sie beantragte sinngemäss, der angefochtene Entscheid sei aufzuheben und die Beschwerde der Beschwerdegegnerin sei abzuweisen; ausserdem erhob sie Strafanzeige gegen die Beschwerdegegnerin und beantrag- te die Weiterleitung der Strafanzeige an die Strafbehörden (vgl. act. 2 und 5/9/3). Die vorinstanzlichen Akten wurden beigezogen (act. 5). Von der Einholung einer Beschwerdeantwort bzw. einer Vernehmlassung kann abgesehen werden (vgl. § 18 EG SchKG i.V.m. § 84 GOG i.V.m. Art. 322 und Art. 324 ZPO). Das Verfah- ren ist spruchreif.</w:t>
      </w:r>
    </w:p>
    <w:p>
      <w:r>
        <w:rPr>
          <w:b/>
        </w:rPr>
        <w:t>E. 2</w:t>
      </w:r>
    </w:p>
    <w:p>
      <w:r>
        <w:t>Für das Beschwerdeverfahren nach Art. 18 SchKG sind die Regelungen von Art. 319 ff. ZPO anwendbar (vgl. Art. 20a Abs. 3 SchKG i.V.m. § 18 EG SchKG i.V.m § 84 GOG). Mit der Beschwerde können die unrichtige Rechtsanwendung und die offensichtlich unrichtige Feststellung des Sachverhaltes geltend gemacht werden (vgl. Art. 320 ZPO). Dabei sind konkrete Beschwerdeanträge zu stellen und zu begründen. Die Beschwerde führende Partei hat sich hierbei mit der Be- gründung des vorinstanzlichen Entscheides im Einzelnen auseinander zu setzen und anzugeben, an welchen Mängeln der angefochtene Entscheid ihrer Ansicht</w:t>
      </w:r>
    </w:p>
    <w:p>
      <w:r>
        <w:t>- 3 - nach leidet (vgl. Art. 321 ZPO). Bei Parteien ohne anwaltliche Vertretung wird an diese Erfordernisse ein weniger strenger Massstab angelegt. Bei fehlender Aus- einandersetzung bzw. Begründung ist jedoch auf die Beschwerde ohne Weiteres nicht einzutreten (vgl. OGer ZH PS190042 vom 27. März 2019 E 2). Neue Anträ- ge, neue Tatsachen und neue Beweismittel sind im Beschwerdeverfahren ausge- schlossen (vgl. Art. 326 ZPO). Das gilt auch im zweitinstanzlichen betreibungs- rechtlichen Beschwerdeverfahren (vgl. OGer ZH PS190042 vom 27. März 2019 E 2).</w:t>
      </w:r>
    </w:p>
    <w:p>
      <w:r>
        <w:rPr>
          <w:b/>
        </w:rPr>
        <w:t>E. 3</w:t>
      </w:r>
    </w:p>
    <w:p>
      <w:r>
        <w:t>Die Vorinstanz erklärte u.a. mit Verweis auf den Entscheid PS200001 der oberen kantonalen Aufsichtsbehörde vom 10. Januar 2020, dass die Beschwerde- führerin gerichtsnotorisch nicht Verwalterin der besagten Stockwerkeigentümer- gemeinschaft sei. Des Weiteren habe die Beschwerdeführerin im Beschwerdever- fahren auch keine Vollmacht der Stockwerkeigentümergemeinschaft für die streit- gegenständliche Eintreibung angeblich eingesparter Mietzinse für die Loggia der Beschwerdegegnerin beigebracht, und sie habe auch keine nachträgliche Ge- nehmigung der Betreibung durch ein zeichnungsberechtigtes Organ der Stock- werkeigentümergemeinschaft vorlegen können. Demnach sei von der fehlenden Vertretungsmacht der Beschwerdeführerin auszugehen, weshalb das Betrei- bungsbegehren der vollmachtlosen Beschwerdeführerin als ungültig zu erachten sei (vgl. act. 4 E. 5).</w:t>
      </w:r>
    </w:p>
    <w:p>
      <w:r>
        <w:rPr>
          <w:b/>
        </w:rPr>
        <w:t>E. 4</w:t>
      </w:r>
    </w:p>
    <w:p>
      <w:r>
        <w:t>Die Beschwerdeführerin beantragt zwar die Aufhebung des vorinstanzlichen Entscheids, legt aber nicht einmal in rudimentärer Weise dar, inwiefern die Vo- rinstanz ihrer Auffassung nach das Recht unrichtig angewendet oder den Sach- verhalt unzutreffend festgestellt haben soll. Insbesondere zeigt sie nicht auf, in- wiefern die Vorinstanz zu Unrecht davon ausgegangen ist, der Beschwerdeführe- rin fehle eine Vollmacht der Stockwerkeigentümergemeinschaft. Damit sind die elementaren Voraussetzungen an die Beschwerdebegründung nicht erfüllt. Beim Antrag auf Weiterleitung ihrer Strafanzeige an die Strafbehörden handelt es sich um einen unzulässigen neuen Antrag. Ohnehin ergibt sich aus ihren Ausführun- gen kein hinreichender Anfangsverdacht, womit bei Behandlung des Antrags kein</w:t>
      </w:r>
    </w:p>
    <w:p>
      <w:r>
        <w:t>- 4 - Anlass zur Weiterleitung der Strafanzeige bestünde. Auf die Beschwerde ist im Ergebnis nicht einzutreten.</w:t>
      </w:r>
    </w:p>
    <w:p>
      <w:r>
        <w:rPr>
          <w:b/>
        </w:rPr>
        <w:t>E. 5</w:t>
      </w:r>
    </w:p>
    <w:p>
      <w:r>
        <w:t>Das Verfahren vor den kantonalen Aufsichtsbehörden über die Betreibungs- ämter ist grundsätzlich kostenlos. Bei bös- oder mutwilliger Prozessführung kön- nen aber Bussen bis zu Fr. 1'500.– sowie Gebühren und Auslagen auferlegt wer- den (vgl. Art. 20a Abs. 2 Ziff. 5 SchKG). Mit Entscheid der oberen kantonalen Aufsichtsbehörde vom 10. Januar 2020 wurde der Beschwerdeführerin angedroht, dass sie im Falle weiterer mangelhafter oder klar unberechtigter Eingaben mit der Auflage von Gebühren und Auslagen zu rechnen habe (vgl. OGer ZH PS200001 vom 10. Januar 2020 E.12; zugestellt am 18. Januar 2020). In ihrer Beschwerde setzt sich die Beschwerdeführerin mit keinem Wort mit der vorinstanzlichen Be- gründung auseinander. Vielmehr beschränkt sie sich auf unzulässige neue Vor- bringen zu angeblich strafrechtlich relevanten Handlungen der Beschwerdegeg- nerin und verlangt, dass die obere kantonale Aufsichtsbehörde die Strafanzeige an die Strafbehörden weiterleitet. Des weiteren erweist sich die gegen die Be- schwerdegegnerin eingeleitete Betreibung als mutwillig; dies gilt erst recht für die Beschwerde gegen den Entscheid der Vorinstanz. Im übrigen bleibt unklar, wa- rum die Beschwerdeführerin die Strafanzeige nicht selber bei den zuständigen Strafbehörden einreicht. Der Beschwerdeführerin sind deshalb androhungsge- mäss die Kosten aufzuerlegen. Parteientschädigungen dürfen in diesem Verfah- ren nicht zugesprochen werden (vgl.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