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PS200058 vom 11. März 2020</w:t>
      </w:r>
    </w:p>
    <w:p>
      <w:r>
        <w:t>ZH Obergericht, 2020-03-11, DE</w:t>
      </w:r>
    </w:p>
    <w:p>
      <w:r>
        <w:rPr>
          <w:b/>
        </w:rPr>
        <w:t xml:space="preserve">Quelle: </w:t>
      </w:r>
      <w:r>
        <w:t>https://mcp.opencaselaw.ch/entscheid/zh_obergericht_PS200058</w:t>
      </w:r>
    </w:p>
    <w:p>
      <w:r>
        <w:t>FR: ZH_OBERGERICHT PS200058 du 11 mars 2020</w:t>
      </w:r>
    </w:p>
    <w:p>
      <w:r>
        <w:t>IT: ZH_OBERGERICHT PS200058 del 11 marzo 2020</w:t>
      </w:r>
    </w:p>
    <w:p>
      <w:pPr>
        <w:pStyle w:val="Heading2"/>
      </w:pPr>
      <w:r>
        <w:t>Erwägungen</w:t>
      </w:r>
    </w:p>
    <w:p>
      <w:r>
        <w:rPr>
          <w:b/>
        </w:rPr>
        <w:t>E. 1</w:t>
      </w:r>
    </w:p>
    <w:p>
      <w:r>
        <w:t>Das Konkursgericht des Bezirksgerichtes Bülach eröffnete mit Urteil vom 24. Februar 2020 über die Beschwerdeführerin den Konkurs für eine Forderung der Beschwerdegegnerin von Fr. 1'507.80 nebst 5 % Zins seit 9. Oktober 2019, Fr. 127.80 und Fr. 146.60 Betreibungskosten (act. 7). Dagegen erhob die Be- schwerdeführerin mit Eingabe vom 3. März 2019 rechtzeitig Beschwerde, bean- tragte die Aufhebung des Konkurses zufolge Bezahlung und stellte ein Gesuch um Erteilung der aufschiebenden Wirkung (act. 2). Mit Verfügung vom</w:t>
      </w:r>
    </w:p>
    <w:p>
      <w:r>
        <w:rPr>
          <w:b/>
        </w:rPr>
        <w:t>E. 3</w:t>
      </w:r>
    </w:p>
    <w:p>
      <w:r>
        <w:t>Es werden keine Parteientschädigungen zugesprochen.</w:t>
      </w:r>
    </w:p>
    <w:p>
      <w:r>
        <w:t>- 3 -</w:t>
      </w:r>
    </w:p>
    <w:p>
      <w:r>
        <w:rPr>
          <w:b/>
        </w:rPr>
        <w:t>E. 4</w:t>
      </w:r>
    </w:p>
    <w:p>
      <w:r>
        <w:t>Schriftliche Mitteilung an die Parteien, an die Beschwerdegegnerin unter Beilage der Doppel von act. 2 und act. 12, sowie an die Vorinstanz (unter Rücksendung der erstinstanzlichen Akten) und das Konkursamt Bülach, fer- ner an das Handelsregisteramt des Kantons Zürich und an das Betreibungs- amt Bülach, je gegen Empfangsschein.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lic. iur. K. Houweling-Wili versandt am: 12.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