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PS200054 vom 11. März 2020</w:t>
      </w:r>
    </w:p>
    <w:p>
      <w:r>
        <w:t>ZH Obergericht, 2020-03-11, DE</w:t>
      </w:r>
    </w:p>
    <w:p>
      <w:r>
        <w:rPr>
          <w:b/>
        </w:rPr>
        <w:t xml:space="preserve">Quelle: </w:t>
      </w:r>
      <w:r>
        <w:t>https://mcp.opencaselaw.ch/entscheid/zh_obergericht_PS200054</w:t>
      </w:r>
    </w:p>
    <w:p>
      <w:r>
        <w:t>FR: ZH_OBERGERICHT PS200054 du 11 mars 2020</w:t>
      </w:r>
    </w:p>
    <w:p>
      <w:r>
        <w:t>IT: ZH_OBERGERICHT PS200054 del 11 marzo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September 2019 E. 4.1; BGer 5A_819/2018 vom 4. März 2019 E. 2.1). Es bleibt nach dem Gesagten bei der vorinstanzlichen Einschätzung, dass der Kon- kurs zufolge bestehender Lohnpfändung und mangels Vermögens nicht zu eröff- nen ist. Die Beschwerde ist folglich abzuweisen.</w:t>
      </w:r>
    </w:p>
    <w:p>
      <w:r>
        <w:t>- 5 - 4.3 Lediglich der Vollständigkeit halber ist anzumerken, dass der Schuld- ner, sofern er der Ansicht sein sollte, im Rahmen der Lohnpfändung seien tat- sächlich bezahlte Auslagen wie z.B. Mietzinsen und Unterhaltsbeiträge nicht be- rücksichtigt, beim Betreibungsamt unter Vorlage der entsprechenden Zahlungsbe- lege eine Korrektur bzw. Revision der Pfändungsquote beantragen könnte. 5. In Anwendung von Art. 52 lit. a GebV SchKG i.V.m. Art. 61 GebV SchKG ist die Entscheidgebühr für das Beschwerdeverfahren auf Fr. 300.– fest- zusetzen und ausgangsgemäss dem unterliegenden Schuldner aufzuerlegen (Art. 106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