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PS200046 vom 6. März 2020</w:t>
      </w:r>
    </w:p>
    <w:p>
      <w:r>
        <w:t>ZH Obergericht, 2020-03-06, DE</w:t>
      </w:r>
    </w:p>
    <w:p>
      <w:r>
        <w:rPr>
          <w:b/>
        </w:rPr>
        <w:t xml:space="preserve">Quelle: </w:t>
      </w:r>
      <w:r>
        <w:t>https://mcp.opencaselaw.ch/entscheid/zh_obergericht_PS200046</w:t>
      </w:r>
    </w:p>
    <w:p>
      <w:r>
        <w:t>FR: ZH_OBERGERICHT PS200046 du 6 mars 2020</w:t>
      </w:r>
    </w:p>
    <w:p>
      <w:r>
        <w:t>IT: ZH_OBERGERICHT PS200046 del 6 marzo 2020</w:t>
      </w:r>
    </w:p>
    <w:p>
      <w:pPr>
        <w:pStyle w:val="Heading2"/>
      </w:pPr>
      <w:r>
        <w:t>Erwägungen</w:t>
      </w:r>
    </w:p>
    <w:p>
      <w:r>
        <w:rPr>
          <w:b/>
        </w:rPr>
        <w:t>E. 2</w:t>
      </w:r>
    </w:p>
    <w:p>
      <w:r>
        <w:t>März 2020 (Datum Poststempel) eingereichte Eingabe (act. 14) nicht mehr in- nerhalb der Beschwerdefrist erfolgte, welche am 27. Februar 2020 abgelaufen ist (vgl. act. 7/3; Zustelldatum: 17. Februar 2020, Ende Frist: Donnerstag, 27. Fe- bruar 2020). Diese verspätete Eingabe bleibt im vorliegenden Verfahren deshalb unbeachtlich. Indes änderte diese Eingabe am vorhin gezeichneten Ergebnis oh- nehin nichts; sie nimmt ebenfalls keinerlei Bezug auf den vorinstanzlichen Ent- scheid. Vielmehr scheint sie sich gegen ein Schreiben der Beschwerdegegnerin an die Beschwerdeführerin zu richten (act. 15). Dieses Schreiben stellt für sich kein taugliches Anfechtungsobjekt für eine Beschwerde an die Kammer dar.</w:t>
      </w:r>
    </w:p>
    <w:p>
      <w:r>
        <w:t>- 5 -</w:t>
      </w:r>
    </w:p>
    <w:p>
      <w:r>
        <w:rPr>
          <w:b/>
        </w:rPr>
        <w:t>E. 4</w:t>
      </w:r>
    </w:p>
    <w:p>
      <w:r>
        <w:t>Das Verfahren vor der oberen kantonalen Aufsichtsbehörde in Schuldbetrei- bungs- und Konkurssachen ist kostenlos (Art. 20a Abs. 2 Ziff. 5 SchKG). Partei- 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