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PS200025 vom 7. April 2020</w:t>
      </w:r>
    </w:p>
    <w:p>
      <w:r>
        <w:t>ZH Obergericht, 2020-04-07, DE</w:t>
      </w:r>
    </w:p>
    <w:p>
      <w:r>
        <w:rPr>
          <w:b/>
        </w:rPr>
        <w:t xml:space="preserve">Quelle: </w:t>
      </w:r>
      <w:r>
        <w:t>https://mcp.opencaselaw.ch/entscheid/zh_obergericht_PS200025</w:t>
      </w:r>
    </w:p>
    <w:p>
      <w:r>
        <w:t>FR: ZH_OBERGERICHT PS200025 du 7 avril 2020</w:t>
      </w:r>
    </w:p>
    <w:p>
      <w:r>
        <w:t>IT: ZH_OBERGERICHT PS200025 del 7 aprile 2020</w:t>
      </w:r>
    </w:p>
    <w:p>
      <w:pPr>
        <w:pStyle w:val="Heading2"/>
      </w:pPr>
      <w:r>
        <w:t>Erwägungen</w:t>
      </w:r>
    </w:p>
    <w:p>
      <w:r>
        <w:rPr>
          <w:b/>
        </w:rPr>
        <w:t>E. 1</w:t>
      </w:r>
    </w:p>
    <w:p>
      <w:r>
        <w:t>Frau A._____ (Beschwerdeführerin) verlangte beim Betreibungsamt Zürich 7 Einsicht in die Akten über diverse Betreibungsregisterauszüge. Das Betreibungs- amt teilte ihr am 9. Dezember 2019 mit, dass diese Akten teilweise nicht mehr existierten, da Akten über Registerauszüge gestützt auf § 25 lit. c der Verordnung über die Betreibungs- und Gemeindeammannämter (VBG) nur 2 Jahre, vom Tag der Erledigung an gerechnet, aufbewahrt werden müssten (vgl. act. 2). In der Fol- ge erhob die Beschwerdeführerin Beschwerde beim Bezirksgericht Zürich als un- tere kantonale Aufsichtsbehörde über die Betreibungsämter (Vorinstanz). Sie bat um Überprüfung, ob das Betreibungsamt ihre Aufbewahrungsfristen eingehalten habe. Ausserdem wäre sie dankbar, wenn die Vorinstanz das Betreibungsamt künftig bitten könnte, ihr die Akten sofort zur Verfügung zu stellen, bevor sie diese vernichte (vgl. act. 1). Die Vorinstanz verwies in ihrem Beschluss vom 13. Januar 2020 erneut auf § 25 lit. c VBG und erklärte, das Betreibungsamt habe nicht rechtswidrig gehandelt. Der erste Antrag der Beschwerdeführerin wurde demnach abgewiesen. Auf den zweiten Antrag trat die Vorinstanz mangels Anfechtungsobjekt sowie mangels ei- nes rechtlich schützenswerten Interesses nicht ein (vgl. act. 8 E. 5). Dagegen er- hob die Beschwerdeführerin am 28. Januar 2020 (Poststempel) rechtzeitig Be- schwerde beim Obergericht als obere kantonale Aufsichtsbehörde über die Be- treibungsämter. Sie beantragte die Überprüfung des vorinstanzlichen Entscheids sowie die Stellungnahme zu zwei von ihr vorgeschlagenen Gesetzesänderungen (vgl. act. 5/2 und 9). Die vorinstanzlichen Akten wurden beigezogen (act. 1-6). Von der Einholung einer Vernehmlassung kann abgesehen werden (vgl. § 18 EG SchKG i.V.m. § 84 GOG i.V.m.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w:t>
      </w:r>
    </w:p>
    <w:p>
      <w:r>
        <w:t>- 3 -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beantragt zwar die Überprüfung des vorinstanzli- chen Entscheids, legt aber nicht einmal in rudimentärer Weise dar, inwiefern die Vorinstanz ihrer Auffassung nach das Recht unrichtig angewendet oder den Sachverhalt unzutreffend festgestellt haben soll. Insbesondere zeigt sie nicht auf, inwiefern die Vorinstanz zu Unrecht davon ausgegangen ist, das Betreibungsamt habe aufgrund von § 25 lit. c VBG rechtmässig gehandelt und für die Behandlung des zweiten Antrags der Beschwerdeführerin fehle es an einem Anfechtungsob- jekt und einem schutzwürdigen Interesse. Damit sind die elementaren Vorausset- zungen an die Beschwerdebegründung nicht erfüllt. Beim Antrag auf Stellung- nahme zu zwei vorgeschlagenen Gesetzesänderungen handelt es sich um einen unzulässigen neuen Antrag. Darüber hinaus fällt die Stellungnahme zu von Be- schwerdeführern vorgeschlagenen Gesetzesänderungen offensichtlich nicht in den Aufgabenkatalog der oberen kantonalen Aufsichtsbehörde über die Betrei- bungsämter. Auf die Beschwerde ist im Ergebnis nicht einzutreten.</w:t>
      </w:r>
    </w:p>
    <w:p>
      <w:r>
        <w:rPr>
          <w:b/>
        </w:rPr>
        <w:t>E. 4</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w:t>
      </w:r>
    </w:p>
    <w:p>
      <w:r>
        <w:t>- 4 - Auflage von Gebühren und Auslagen zu rechnen habe (vgl. OGer ZH PS200001 vom 10. Januar 2020 E.12; zugestellt am 18. Januar 2020). In ihrer Beschwerde setzt sich die Beschwerdeführerin nicht ansatzweise mit der vorinstanzlichen Be- gründung auseinander, sondern beschränkt sich auf unzulässige neue Vorbringen zu zwei aus ihrer Sicht notwendigen Gesetzesänderungen und einen damit zu- sammenhängenden unzulässigen neuen Antrag, wobei die sachliche Zuständig- keit der angerufenen Instanz zur Behandlung dieses Antrags auch für die Be- schwerdeführerin erkennbar nicht gegeben ist. Die Eingabe ist klar unberechtigt, weshalb ihr androhungsgemäss die Kosten aufzuerlegen sind. Parteientschädi- gungen dürfen in diesem Verfahren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