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PS200011 vom 19. März 2020</w:t>
      </w:r>
    </w:p>
    <w:p>
      <w:r>
        <w:t>ZH Obergericht, 2020-03-19, DE</w:t>
      </w:r>
    </w:p>
    <w:p>
      <w:r>
        <w:rPr>
          <w:b/>
        </w:rPr>
        <w:t xml:space="preserve">Quelle: </w:t>
      </w:r>
      <w:r>
        <w:t>https://mcp.opencaselaw.ch/entscheid/zh_obergericht_PS200011</w:t>
      </w:r>
    </w:p>
    <w:p>
      <w:r>
        <w:t>FR: ZH_OBERGERICHT PS200011 du 19 mars 2020</w:t>
      </w:r>
    </w:p>
    <w:p>
      <w:r>
        <w:t>IT: ZH_OBERGERICHT PS200011 del 19 marzo 2020</w:t>
      </w:r>
    </w:p>
    <w:p>
      <w:pPr>
        <w:pStyle w:val="Heading2"/>
      </w:pPr>
      <w:r>
        <w:t>Erwägungen</w:t>
      </w:r>
    </w:p>
    <w:p>
      <w:r>
        <w:rPr>
          <w:b/>
        </w:rPr>
        <w:t>E. 2</w:t>
      </w:r>
    </w:p>
    <w:p>
      <w:r>
        <w:t>Gemäss Art. 174 Abs. 2 SchKG kann die Konkurseröffnung im Be- schwerdeverfahren aufgehoben werden, wenn die Schuldnerin mit der Einlegung des Rechtsmittels durch Urkunden einen der drei gesetzlich vorgesehenen Kon- kurshinderungsgründe (Tilgung, Hinterlegung oder Gläubigerverzicht) nachweist und ihre Zahlungsfähigkeit glaubhaft macht. Tilgung und Hinterlegung müssen einschliesslich Zinsen und Kosten erfolgt sein. Dies bedeutet praxisgemäss, dass zusätzlich zur Tilgung bzw. Hinterlegung der Konkursforderung auch die Kosten des Konkursamtes und des erstinstanzlichen Konkursgerichtes beim zuständigen Konkursamt rechtzeitig sicherzustellen sind (vgl. dazu OGerZH PS110095 vom</w:t>
      </w:r>
    </w:p>
    <w:p>
      <w:r>
        <w:rPr>
          <w:b/>
        </w:rPr>
        <w:t>E. 6</w:t>
      </w:r>
    </w:p>
    <w:p>
      <w:r>
        <w:t>Juli 2011; KUKO SchKG-Diggelmann, 2. Aufl. 2014, N 10 zu Art. 174 SchKG). Die Beschwerde ist innert einer Frist von zehn Tagen einzureichen und abschlies- send zu begründen. Das bedeutet, dass sowohl die Zahlungsfähigkeit als auch einer der drei Konkurshinderungsgründe innert der Rechtsmittelfrist glaubhaft zu</w:t>
      </w:r>
    </w:p>
    <w:p>
      <w:r>
        <w:t>- 3 - machen bzw. mit Urkunden zu belegen sind. Neue Behauptungen und Urkunden- beweise über konkurshindernde Tatsachen kann sie innert der Rechtsmittelfrist aber selbst dann erheben, wenn sie nach dem erstinstanzlichen Entscheid ergan- gen bzw. entstanden sind (echte Noven). Nachfristen werden hingegen keine ge- währt (vgl. dazu BGE 136 III 294). 3. Die Schuldnerin weist mittels Quittung der Zentralen Inkassostelle der Gerichte nach, dass sie am 20. Januar 2020 für die Konkursforderung der Gläubi- gerin, welche sich inkl. Zinsen auf Fr. 38'368.30 beläuft (vgl. act. 10), den Betrag von Fr. 38'482.05 in Bar hinterlegt hat (act. 5/24). Weiter belegt die Schuldnerin mittels Bestätigung des Konkursamtes Wiedikon-Zürich vom 9. Januar 2020, beim Konkursamt die Kosten des Konkursgerichtes und des Konkursverfahrens bis zu einer allfälligen Konkursaufhebung mit einer Zahlung von Fr. 1'800.– sicherge- stellt zu haben (act. 5/45). Die erste Voraussetzung im Sinne von Art. 174 Abs. 2 Ziff. 2 SchKG (Hinterlegung) ist damit erfüllt. Zu prüfen bleibt die Zahlungsfähig- keit der Schuldnerin. 4.1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auch die be- stehenden Schulden abzutragen. Die Zahlungsfähigkeit ist glaubhaft zu machen, das heisst mittels Urkunden so zu belegen, dass objektiv überprüfbar der Schluss erlaubt wird, es bestehe eine gewisse Wahrscheinlichkeit dafür, die Sachdarstel- lung der Schuldnerin treffe zu. Vorausgesetzt wird, dass die Zahlungsfähigkeit wahrscheinlicher erscheint als die Zahlungsunfähigkeit (vgl. BSK SchKG II- Giroud, 2. Auflage 2010, N 26 zu Art. 174 SchKG). Ein Beweis, der die (volle) Überzeugung gestattete, die Sachdarstellung der Schuldnerin sei zutreffend, ist nicht nötig. 4.2 Die Möglichkeit einer Schuldnerin, die Konkursforderung auch nach der Konkurseröffnung noch zu tilgen und den Konkurs mit Glaubhaftmachen der Zah- lungsfähigkeit auf dem Beschwerdeweg abzuwenden, hat nach der bundesrätli- chen Botschaft zur SchKG-Revision von 1994 Fälle im Auge, in welchen der Kon-</w:t>
      </w:r>
    </w:p>
    <w:p>
      <w:r>
        <w:t>- 4 - kurs wegen eines Versehens oder Missgeschicks nicht rechtzeitig abgewendet werden konnte, die wirtschaftliche Lebensfähigkeit des schuldnerischen Betriebes aber nicht zum Vornherein verneint werden muss (vgl. BBl 1991 III S. 1 ff., S. 112). Das Bundesgericht schliesst daraus, dass die "wirtschaftliche Lebensfä- higkeit" des schuldnerischen Betriebes in entsprechenden Beschwerdeverfahren stets zu beurteilen sei (BGer 5A_642/2010 vom 7. Dezember 2010, E. 2.4). Die nachträgliche Aufhebung der Konkurseröffnung muss in diesem Sinne "wirtschaft- lich sinnvoll" sein (BlSchK 2015 S. 156; vgl. zum Ganzen auch Jae- ger/Walder/Kull/Kottmann, Bundesgesetz über Schuldbetreibung und Konkurs, 4. Aufl. 1997/99, Band 2, N 10 zu Art. 174 SchKG). Deshalb spricht allenfalls auch eine zwischenzeitliche Inaktivität einer Schuldnerin dann noch nicht zwingend ge- gen ihre wirtschaftliche Lebensfähigkeit, wenn die (Wieder-)Aufnahme des Be- triebs absehbar bzw. konkret geplant ist und zur Deckung bis dann anfallender Kosten ein Liquiditätspolster vorhanden ist (vgl. OGerZH PS140283 vom 26. Ja- nuar 2015, E. II./3.3-4). Weist eine Schuldnerin dagegen über längere Zeit keine Aktiven und keine Geschäftstätigkeit vor, so ist sie wirtschaftlich nicht lebensfähig (vgl. OGerZH PS160177 vom 25. Oktober 2016. E. 4.4). Dasselbe gilt, wenn die Gründe für die zwischenzeitliche Inaktivität vage sind bzw. nicht stichhaltig und / oder keine konkreten und schlüssigen Angaben zur Wiederaufnahme des Betrie- bes gegeben sind. 5.1 Wesentlichen Aufschluss über das Zahlungsverhalten und die finanziel- le Lage der Schuldnerin gibt insbesondere das Betreibungsregister. Die Schuld- nerin wurde am tt.mm.2012 im Handelsregister des Kantons Zürich eingetragen. Ihre Sitzverlegung von C._____ [Ortschaft] nach D._____ [Ortschaft] wurde am tt.mm.2019 im SHAB publiziert (vgl. act. 5/3). Es wurden die Betreibungsregister- auszüge vom Betreibungsamt Thalwil-Rüschlikon-Kilchberg (act. 5/21) als auch vom Betreibungsamt Zürich 3 (act. 5/26) eingereicht. Da mehrere am vormaligen Domizil der Schuldnerin angehobene Betreibungen am aktuellen Sitz neu einge- leitet wurden, ist – um Doppelspurigkeiten zu vermeiden – zunächst auf den Be- treibungsregisterauszug des Betreibungsamtes Zürich 3 einzugehen.</w:t>
      </w:r>
    </w:p>
    <w:p>
      <w:r>
        <w:t>- 5 - 5.2 Gemäss Auskunft Nr. … aus dem Register des Betreibungsam- tes Zürich 3 vom 17. Januar 2020 wurden im Zeitraum vom 23. Januar 2019 bis</w:t>
      </w:r>
    </w:p>
    <w:p>
      <w:r>
        <w:rPr>
          <w:b/>
        </w:rPr>
        <w:t>E. 9</w:t>
      </w:r>
    </w:p>
    <w:p>
      <w:r>
        <w:t>Die Kosten beider Instanzen hat die Schuldnerin zu tragen. Der Gläu- bigerin ist mangels relevanter Aufwendungen im vorliegenden 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