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PS200006 vom 3. Februar 2020</w:t>
      </w:r>
    </w:p>
    <w:p>
      <w:r>
        <w:t>ZH Obergericht, 2020-02-03, DE</w:t>
      </w:r>
    </w:p>
    <w:p>
      <w:r>
        <w:rPr>
          <w:b/>
        </w:rPr>
        <w:t xml:space="preserve">Quelle: </w:t>
      </w:r>
      <w:r>
        <w:t>https://mcp.opencaselaw.ch/entscheid/zh_obergericht_PS200006</w:t>
      </w:r>
    </w:p>
    <w:p>
      <w:r>
        <w:t>FR: ZH_OBERGERICHT PS200006 du 3 février 2020</w:t>
      </w:r>
    </w:p>
    <w:p>
      <w:r>
        <w:t>IT: ZH_OBERGERICHT PS200006 del 3 febbraio 2020</w:t>
      </w:r>
    </w:p>
    <w:p>
      <w:pPr>
        <w:pStyle w:val="Heading2"/>
      </w:pPr>
      <w:r>
        <w:t>Erwägungen</w:t>
      </w:r>
    </w:p>
    <w:p>
      <w:r>
        <w:rPr>
          <w:b/>
        </w:rPr>
        <w:t>E. 1.1</w:t>
      </w:r>
    </w:p>
    <w:p>
      <w:r>
        <w:t>Die Schuldnerin und Beschwerdeführerin (fortan Schuldnerin) ist seit dem tt. Februar 2008 im Handelsregister des Kantons Zürich eingetragen. Unter der Rubrik "Zweck" ist im Handelsregister das Folgende vermerkt: "Erbringung von Dienstleistungen im medizinischen und kosmetischen Bereich sowie Handel mit Waren aller Art, insbesondere Kosmetik-Produkten" (act. 5).</w:t>
      </w:r>
    </w:p>
    <w:p>
      <w:r>
        <w:rPr>
          <w:b/>
        </w:rPr>
        <w:t>E. 1.2</w:t>
      </w:r>
    </w:p>
    <w:p>
      <w:r>
        <w:t>Mit Urteil vom 15. Januar 2020 eröffnete das Konkursgericht des Bezirksge- richts Zürich den Konkurs über die Schuldnerin für folgende Forderung der Gläu- bigerin und Beschwerdegegnerin (fortan Gläubigerin; act. 6/10 = act. 3 S. 2): CHF 16'611.20 nebst Zins zu 5 % seit 20.12.2017 CHF 1'077.00 nebst Zins zu 5 % seit 23.07.2019 abzgl. TZ von CHF 3'980.00 vom 25.11.2019 CHF 235.60 Betreibungskosten</w:t>
      </w:r>
    </w:p>
    <w:p>
      <w:r>
        <w:rPr>
          <w:b/>
        </w:rPr>
        <w:t>E. 1.3</w:t>
      </w:r>
    </w:p>
    <w:p>
      <w:r>
        <w:t>Gegen diesen Entscheid ging am 24. Januar 2020 (Datum Poststempel: 23. Januar 2020) rechtzeitig eine Beschwerde ein. Mit Verfügung vom 24. Januar 2020 wurde der Beschwerde gegen die Konkurseröffnung einstweilen keine auf- schiebende Wirkung zuerkannt. Die Kammer setzte der Schuldnerin eine Nach- frist an, um eine mit Originalunterschrift versehene Beschwerdeschrift einzu- reichen. Zudem wurde die Schuldnerin auf die (inhaltlichen) Anforderungen an die Beschwerdeerhebung gegen die Konkurseröffnung hingewiesen (vgl. act. 7). Mit Eingabe vom 25. Januar 2020 (überbracht am 27. Januar 2020) und damit noch innerhalb der Beschwerdefrist reichte die Schuldnerin eine unterzeichnete Be- schwerdeschrift samt Belegen nach (act. 9 und act. 10/1-6). Die Kammer erteilte der Beschwerde mit Verfügung vom 28. Januar 2020 einstweilen die aufschie- bende Wirkung und setzte der Schuldnerin eine Frist an zur Leistung eines Kos- tenvorschusses von Fr. 750.00 für das Beschwerdeverfahren (act. 12). Der Vor- schuss ging fristgerecht ein (act. 14).</w:t>
      </w:r>
    </w:p>
    <w:p>
      <w:r>
        <w:t>- 3 -</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die Konkursforderung samt Zinsen und Kosten in zwei Teilzahlungen am 25. November 2019 und 12. Dezember 2019 beim Betrei- bungsamt Zürich 8 und einer weiteren Teilzahlung am 21. Januar 2020 beim Kon- kursamt Riesbach-Zürich getilgt bzw. hinterlegt zu haben (act. 4/2, act. 4/4 und act. 10/2). Im Weiteren hat die Schuldnerin den Kostenvorschuss von Fr. 750.00 für das Beschwerdeverfahren geleistet und beim Konkursamt zur Deckung der Kosten des Konkursgerichtes sowie des Konkursverfahrens bis zu einer allfälligen Konkursaufhebung Fr. 1'000.00 sichergestellt (act. 14 und act. 10/3). Die Schuld- nerin hat somit den Konkursaufhebungsgrund der Tilgung resp. Hinterlegung im Sinne von Art. 174 Abs. 2 Ziff. 1 bzw. 2 SchKG nachgewiesen. 2.3.1.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w:t>
      </w:r>
    </w:p>
    <w:p>
      <w:r>
        <w:t>- 4 -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vom 10. Juli 2012 E. 2.3). Nach der Praxis der Kammer genügt es zur Annahme der Zahlungsfähigkeit, wenn glaubhaft gemacht ist, dass die Schuldnerin die aktuell dringendsten Verpflichtungen bedienen kann und innert längstens zwei Jahren neben den laufenden Verbindlichkeiten auch die Altlasten wird abtragen können (OGer ZH PS140068 vom 29. April 2014). 2.3.2. Wesentlichen Aufschluss über das Zahlungsverhalten und die finanzielle Lage eines Schuldners gibt insbesondere das Betreibungsregister. Der von der Schuldnerin eingereichte Betreibungsregisterauszug des Betreibungsamtes Zü- rich 8 vom 27. Januar 2020 weist insgesamt 37 zwischen dem 23. Februar 2016 und dem 5. November 2019 eingeleitete Betreibungen aus (act. 10/5/a). Davon wurden 31 Betreibungen – inklusive der Konkursforderung – durch Bezahlung er- ledigt. In der noch offenen Betreibung-Nr. 1 über Fr. 12'000.00 wurde bereits die Konkursandrohung zugestellt. Die Schuldnerin belegt, dass sie mit Valutadatum</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