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PS200002 vom 7. Februar 2020</w:t>
      </w:r>
    </w:p>
    <w:p>
      <w:r>
        <w:t>ZH Obergericht, 2020-02-07, DE</w:t>
      </w:r>
    </w:p>
    <w:p>
      <w:r>
        <w:rPr>
          <w:b/>
        </w:rPr>
        <w:t xml:space="preserve">Quelle: </w:t>
      </w:r>
      <w:r>
        <w:t>https://mcp.opencaselaw.ch/entscheid/zh_obergericht_PS200002</w:t>
      </w:r>
    </w:p>
    <w:p>
      <w:r>
        <w:t>FR: ZH_OBERGERICHT PS200002 du 7 février 2020</w:t>
      </w:r>
    </w:p>
    <w:p>
      <w:r>
        <w:t>IT: ZH_OBERGERICHT PS200002 del 7 febbraio 2020</w:t>
      </w:r>
    </w:p>
    <w:p>
      <w:pPr>
        <w:pStyle w:val="Heading2"/>
      </w:pPr>
      <w:r>
        <w:t>Erwägungen</w:t>
      </w:r>
    </w:p>
    <w:p>
      <w:r>
        <w:rPr>
          <w:b/>
        </w:rPr>
        <w:t>E. 1</w:t>
      </w:r>
    </w:p>
    <w:p>
      <w:r>
        <w:t>im Sinne einer superprovisorischen Massnahme angewiesen, die Betreibung einstweilen einzustellen und keine Auszahlungen vorzunehmen (a.a.O. S. 3 Dis- positiv-Ziffer 1). Gleichzeitig wurde den Beschwerdegegnerinnen Frist angesetzt, um zur Beschwerde Stellung zu nehmen (a.a.O. S. 3 Dispositiv-Ziffer 2).</w:t>
      </w:r>
    </w:p>
    <w:p>
      <w:r>
        <w:rPr>
          <w:b/>
        </w:rPr>
        <w:t>E. 1.1</w:t>
      </w:r>
    </w:p>
    <w:p>
      <w:r>
        <w:t>Mit Beschwerde an die untere Aufsichtsbehörde vom 29. Juli 2019 stellte die Beschwerdeführerin ein Begehren um Feststellung der Nichtigkeit eines Arrests, zusammen mit dem Antrag auf Erteilung der aufschiebenden Wirkung, d.h. des Erlasses positiver vorsorglicher Massnahmen (einstweilige Einstellung der Betrei- bung und weiterer Verwertungshandlungen). Mit Präsidialverfügung vom 23. De- zember 2019 wies das Bezirksgericht Zürich als untere Aufsichtsbehörde in SchKG-Sachen den Antrag auf Erlass vorsorglicher Massnahmen ab (act. 5 S. 2, S. 4 Dispositiv-Ziffer 2). Mit Eingabe vom 3. Januar 2020 stellte die Beschwerde- führerin das Rechtsbegehren, Dispositiv-Ziffer 2 des vorinstanzlichen Entscheids aufzuheben. Zudem stellte sie den prozessualen Antrag, die verlangten vorsorgli- chen Massnahmen für die Dauer des obergerichtlichen Verfahrens anzuordnen (act. 2 S. 2).</w:t>
      </w:r>
    </w:p>
    <w:p>
      <w:r>
        <w:rPr>
          <w:b/>
        </w:rPr>
        <w:t>E. 1.2</w:t>
      </w:r>
    </w:p>
    <w:p>
      <w:r>
        <w:t>Mit Verfügung vom 3. Januar 2020 (act. 7) wurde das Betreibungsamt Zürich</w:t>
      </w:r>
    </w:p>
    <w:p>
      <w:r>
        <w:rPr>
          <w:b/>
        </w:rPr>
        <w:t>E. 1.3</w:t>
      </w:r>
    </w:p>
    <w:p>
      <w:r>
        <w:t>Die Beschwerdegegnerin 1 teilte mit Eingabe vom 16. Januar 2020 (act. 12) mit, sie verzichte auf eine Stellungnahme zur Beschwerde, verweise aber auf ihre Eingabe an die Vorinstanz (insb. Rz. 5 ff.), die sie beilegte (act. 13/0). In dieser Eingabe an die Vorinstanz vom 13. Januar 2020 führte die Beschwerdegegnerin 1 aus, die D._____ AG [Bank] habe entsprechend der Anweisung des Betreibungs- amtes Zürich 1 Fr. 910'000.– an dieses überwiesen, dieses wiederum Fr. 902'814.40 an die Beschwerdegegnerin 1, und zwar noch vor dem 3. Januar 2020 (S. 4 f. Rz. 5).</w:t>
      </w:r>
    </w:p>
    <w:p>
      <w:r>
        <w:t>- 3 -</w:t>
      </w:r>
    </w:p>
    <w:p>
      <w:r>
        <w:rPr>
          <w:b/>
        </w:rPr>
        <w:t>E. 1.4</w:t>
      </w:r>
    </w:p>
    <w:p>
      <w:r>
        <w:t>Der Beschwerdegegnerin 2 wurde die Verfügung vom 3. Januar 2020 am</w:t>
      </w:r>
    </w:p>
    <w:p>
      <w:r>
        <w:rPr>
          <w:b/>
        </w:rPr>
        <w:t>E. 6</w:t>
      </w:r>
    </w:p>
    <w:p>
      <w:r>
        <w:t>Januar 2020 zugestellt (vgl. act. 8/3). Eine Beschwerdeantwort oder sonstige Äusserung ging innert der bis am 16. Januar 2020 laufenden Frist nicht ein. 2. 2.1. Mit Verfügung vom 21. Januar 2020 (act. 14) wurde der Beschwerdeführerin und der Beschwerdegegnerin 2 Frist angesetzt, um sich zur Eingabe der Be- schwerdegegnerin 1 und zum weiteren Vorgehen zu äussern; im Säumnisfall werde das Verfahren abgeschrieben. 2.2. Die Beschwerdeführerin äusserte sich mit Eingabe vom 3. Februar 2020 (act. 16). Der Beschwerdegegnerin 2 wurde die Verfügung vom 21. Januar 2020 am 22. Januar 2020 zugestellt (vgl. act. 15/2). Es ging keine Äusserung ein. 3. Die Beschwerdeführerin äussert sich in ihrer Eingabe nicht ausdrücklich zum wei- teren Vorgehen und ist insoweit säumig (wie auch die Beschwerdegegnerin 2), weshalb das Verfahren androhungsgemäss abzuschreiben ist. Zudem führt die Beschwerdeführerin selbst aus, der streitige Betrag sei von der D._____ an das Betreibungsamt und von diesem dann an die Beschwerdegegnerin 1 ausgezahlt worden.</w:t>
      </w:r>
    </w:p>
    <w:p>
      <w:r>
        <w:t>- 4 - 4. 4.1. Ausser bei Bös- und Mutwilligkeit ist das Verfahren der SchKG-Aufsichts- beschwerde kostenlos (Art. 20a Abs. 2 Ziff. 5 SchKG) und es sind keine Partei- entschädigungen zuzusprechen (Art. 62 Abs. 2 GebV SchKG). 4.2. Auf die Erhebung von Kosten ist umständehalber zu verzichten (zur Mut- und Böswilligkeit vgl. sogleich). 4.3. Es sind auch keine Entschädigungen zuzusprechen. Ob die Beschwerdefüh- rerin die Beschwerde bös- und mutwillig erhoben hat (vgl. act. 12 i.V.m. act. 13/0 Rz. 8, vgl. dagegen act. 16) und deshalb entschädigungspflichtig wird, kann of- fenbleiben. Die Beschwerdegegnerin 1 hat auf eine Stellungnahme ausdrücklich verzichtet (act. 12), die Beschwerdegegnerin 2 hat sich im ganzen Verfahren nicht vernehmen lassen. Deshalb sind den Beschwerdegegnerinnen keine zu ent- schädigenden Umtriebe entstanden. Die Beschwerdegegnerinnen beteiligten sich wie gerade ausgeführt nicht am Verfahren und schulden schon deshalb (einander oder der Beschwerdeführerin) keine Parteientschädigung. 5. Die Vorinstanz übermittelte der Kammer mit Kurzbrief vom 14. Januar 2020 (act. 9) die an sie gerichtete Eingabe vom 13. Januar 2020 samt Beilagen (act. 10, 11/1+2) und mit Kurzbrief vom 4. Februar 2020 (act. 18) die an sie gerichtete Ein- gabe vom 3. Februar 2020 samt Beilagen (act. 19, 20/1–4). Diese sind der Vor- instanz zu retournieren.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