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PS190249 vom 3. Januar 2020</w:t>
      </w:r>
    </w:p>
    <w:p>
      <w:r>
        <w:t>ZH Obergericht, 2020-01-03, DE</w:t>
      </w:r>
    </w:p>
    <w:p>
      <w:r>
        <w:rPr>
          <w:b/>
        </w:rPr>
        <w:t xml:space="preserve">Quelle: </w:t>
      </w:r>
      <w:r>
        <w:t>https://mcp.opencaselaw.ch/entscheid/zh_obergericht_PS190249</w:t>
      </w:r>
    </w:p>
    <w:p>
      <w:r>
        <w:t>FR: ZH_OBERGERICHT PS190249 du 3 janvier 2020</w:t>
      </w:r>
    </w:p>
    <w:p>
      <w:r>
        <w:t>IT: ZH_OBERGERICHT PS190249 del 3 gennaio 2020</w:t>
      </w:r>
    </w:p>
    <w:p>
      <w:pPr>
        <w:pStyle w:val="Heading2"/>
      </w:pPr>
      <w:r>
        <w:t>Erwägungen</w:t>
      </w:r>
    </w:p>
    <w:p>
      <w:r>
        <w:rPr>
          <w:b/>
        </w:rPr>
        <w:t>E. 6</w:t>
      </w:r>
    </w:p>
    <w:p>
      <w:r>
        <w:t>Der Vollständigkeit halber ist die Schuldnerin auf Art. 195 SchKG hinzuwei- sen, wonach (frühestens nach Ende der Eingabefrist, vgl. Art. 195 Abs. 2 SchKG) die Möglichkeit eines nachträglichen Widerrufs des Konkurses durch das Kon-</w:t>
      </w:r>
    </w:p>
    <w:p>
      <w:r>
        <w:t>- 13 -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7</w:t>
      </w:r>
    </w:p>
    <w:p>
      <w:r>
        <w:t>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