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PS190242 vom 10. Februar 2020</w:t>
      </w:r>
    </w:p>
    <w:p>
      <w:r>
        <w:t>ZH Obergericht, 2020-02-10, DE</w:t>
      </w:r>
    </w:p>
    <w:p>
      <w:r>
        <w:rPr>
          <w:b/>
        </w:rPr>
        <w:t xml:space="preserve">Quelle: </w:t>
      </w:r>
      <w:r>
        <w:t>https://mcp.opencaselaw.ch/entscheid/zh_obergericht_PS190242</w:t>
      </w:r>
    </w:p>
    <w:p>
      <w:r>
        <w:t>FR: ZH_OBERGERICHT PS190242 du 10 février 2020</w:t>
      </w:r>
    </w:p>
    <w:p>
      <w:r>
        <w:t>IT: ZH_OBERGERICHT PS190242 del 10 febbraio 2020</w:t>
      </w:r>
    </w:p>
    <w:p>
      <w:pPr>
        <w:pStyle w:val="Heading2"/>
      </w:pPr>
      <w:r>
        <w:t>Erwägungen</w:t>
      </w:r>
    </w:p>
    <w:p>
      <w:r>
        <w:rPr>
          <w:b/>
        </w:rPr>
        <w:t>E. 2</w:t>
      </w:r>
    </w:p>
    <w:p>
      <w:r>
        <w:t>Dagegen erhebt die Beschwerdeführerin mit Eingabe vom 12. Dezember 2019 fristgerecht Beschwerde bei der Kammer (act. 2, vgl. zur Rechtzeitigkeit act. 7/10). Die vorinstanzlichen Akten wurden beigezogen (act. 7). Das Verfahren ist spruchreif.</w:t>
      </w:r>
    </w:p>
    <w:p>
      <w:r>
        <w:rPr>
          <w:b/>
        </w:rPr>
        <w:t>E. 3</w:t>
      </w:r>
    </w:p>
    <w:p>
      <w:r>
        <w:t>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Bei Rechtsmittel- 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Beschwerde führenden Partei unrichtig sein soll. Sind auch diese Voraussetzungen nicht gegeben, ist auf die Beschwerde nicht einzu- treten. Neue Anträge, neue Tatsachenbehauptungen und neue Beweismittel (sog. Noven) sind im Beschwerdeverfahren ausgeschlossen (Art. 326 Abs. 1 ZPO). 4.1. Die Beschwerdeführerin macht geltend, über keine Vermögenswerte ausser Fr. 223.07 Bankguthaben zu verfügen. Entsprechend sei sie nicht in der Lage, die Kosten für den Bericht eines zugelassenen Revisors, einen Barvorschuss für die Konkurseröffnung, einen Rechtsanwalt für die Beratung oder die Entscheidgebühr zu leisten (act. 2).</w:t>
      </w:r>
    </w:p>
    <w:p>
      <w:r>
        <w:t>- 4 - Inhaltich setzt die Beschwerdeführerin dem vorinstanzlichen Entscheid mit diesen Vorbringen nichts entgegen. Sie bestreitet insbesondere nicht, innerhalb der durch die Vorinstanz angesetzten Frist nicht reagiert bzw. keine Unterlagen eingereicht zu haben. Es ist damit im Ergebnis nicht zu beanstanden, dass die Vorinstanz androhungsgemäss auf das Verfahren nicht eintrat. Auf die Beschwer- de ist bereits aus diesem Grund nicht einzutreten. 4.2. An die Beschwerdeführerin gerichtet sei hier zudem nochmals darauf hinzu- weisen, dass sowohl für die Konkurseröffnung auf Antrag des Schuldners im Sin- ne von Art. 191 SchKG als auch die Konkurseröffnung von Amtes wegen im Sin- ne von Art. 192 SchKG gewisse Voraussetzungen erfüllt sein müssen. Die jewei- ligen Voraussetzungen wurden durch die Vorinstanz mit Verfügung vom</w:t>
      </w:r>
    </w:p>
    <w:p>
      <w:r>
        <w:rPr>
          <w:b/>
        </w:rPr>
        <w:t>E. 5</w:t>
      </w:r>
    </w:p>
    <w:p>
      <w:r>
        <w:t>Ausgangsgemäss sind die Gerichtskosten der Beschwerdeführerin aufzuer- legen (Art. 106 Abs. 1 ZPO). Die Entscheidgebühr für das Beschwerdeverfahren ist minimal auf Fr. 200.– festzusetzen (vgl. Art. 52 i.V.m. Art. 61 GebV SchKG). Eine Parteientschädigung wurde nicht beantragt und ist bereits deshalb nicht zu- 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