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PS190240 vom 23. Dezember 2019</w:t>
      </w:r>
    </w:p>
    <w:p>
      <w:r>
        <w:t>ZH Obergericht, 2019-12-23, DE</w:t>
      </w:r>
    </w:p>
    <w:p>
      <w:r>
        <w:rPr>
          <w:b/>
        </w:rPr>
        <w:t xml:space="preserve">Quelle: </w:t>
      </w:r>
      <w:r>
        <w:t>https://mcp.opencaselaw.ch/entscheid/zh_obergericht_PS190240</w:t>
      </w:r>
    </w:p>
    <w:p>
      <w:r>
        <w:t>FR: ZH_OBERGERICHT PS190240 du 23 décembre 2019</w:t>
      </w:r>
    </w:p>
    <w:p>
      <w:r>
        <w:t>IT: ZH_OBERGERICHT PS190240 del 23 dicembre 2019</w:t>
      </w:r>
    </w:p>
    <w:p>
      <w:pPr>
        <w:pStyle w:val="Heading2"/>
      </w:pPr>
      <w:r>
        <w:t>Erwägungen</w:t>
      </w:r>
    </w:p>
    <w:p>
      <w:r>
        <w:rPr>
          <w:b/>
        </w:rPr>
        <w:t>E. 2</w:t>
      </w:r>
    </w:p>
    <w:p>
      <w:r>
        <w:t>Während der Dauer des Militärdienstes besteht für den Schuldner Rechtsstillstand (Art. 57 SchKG). Es darf gegen ihn in dieser Zeit keine Betrei- bungshandlung vorgenommen werden (Art. 56 SchKG), und die Konkurseröff-</w:t>
      </w:r>
    </w:p>
    <w:p>
      <w:r>
        <w:t>- 3 - nung gehört dazu. Missachtung der Vorschrift führt zur Nichtigkeit der vorgenom- menen Handlung (BSK SchKG-Cometta/Möckli, Art. 22 N. 12 und Bauer Art. 57 N. 14), hier also der Konkurseröffnung. Die Nichtigkeit kann jederzeit geltend gemacht werden, und zwar ohne dass bei einer vom Betreibungsamt vorgenommenen Handlung die Frist zur Beschwer- de im Sinne von Art. 17 SchKG beachtet werden müsste (Art. 22 Abs. 1 SchKG). Nicht anders kann es sein, wenn die Konkurseröffnung in Frage steht, welche ebenfalls mit Beschwerde (wenn auch einer auf andere Grundlage beruhenden Beschwerde: derjenigen nach Art. 174 SchKG resp. 319 ZPO) angefochten wer- den kann. Eine Grenze zieht das Faktische: wenn das Konkursverfahren so weit gediehen ist, dass es vernünftigerweise nicht mehr rück-abgewickelt werden kann (KuKo SchKG-Diggelmann, Art. 159 N. 6 und Art. 171 N. 6). Denkbar wäre auch, dem Schuldner, der sich überhaupt nicht gemeldet hat und den Verhandlungster- min bewusst versäumte, die Berufung auf die Nichtigkeit wegen Verstosses ge- gen Treu und Glauben zu verweigern. Dass der Schuldner bei Konkurseröffnung im Wiederholungskurs war, ist mit dem Eintrag im Dienstbüchlein belegt. Das Konkursverfahren ist nach Auskunft des zuständigen Amtes über die Mitteilung an Ämter und Banken sowie die erste Einvernahme des Schuldners hinaus nicht gediehen (act. 5, Auskunft des Kon- kursamtes C._____). Die am Konkursgericht mit der Sache Befassten konnten sich zwar an ein Telefon des Schuldners nicht erinnern. Allerdings ist ein Anruf an die Zentralnummer des Bezirksgerichts Horgen am Tag der Konkursverhandlung um 0833 Uhr mit der Liste der Verbindungen seines Mobiltelefons bewiesen (act. 17). Das war sehr knapp, und wenn jemand von der Gläubigerin zur Ver- handlung erschienen wäre, hätte der Schuldner eine Entschädigung zahlen müs- sen. Es ist aber glaubhaft, dass er mitteilen wollte, er könne wegen des Militär- dienstes nicht erscheinen - und das hätte, auch wenn der Fall selten ist, am Ge- richt die Erinnerung an Art. 56 SchKG wecken sollen. In einem lebhaften Betrieb wie einem Konkursgericht ist die Erinnerung mehrere Wochen zurück gewiss un- zuverlässig - umso wichtiger wäre es, wenn Telefone, die möglicherweise wichtig sein könnten, schriftlich fixiert würden. Das kann, wenn es eilt, auch eine kurze</w:t>
      </w:r>
    </w:p>
    <w:p>
      <w:r>
        <w:t>- 4 - handgeschriebene Notiz sein, die man ins Dossier legt und bei Bedarf hervor- nehmen kann. Die Beschwerde ist begründet, und das angefochtene Urteil ist aufzuheben.</w:t>
      </w:r>
    </w:p>
    <w:p>
      <w:r>
        <w:rPr>
          <w:b/>
        </w:rPr>
        <w:t>E. 3</w:t>
      </w:r>
    </w:p>
    <w:p>
      <w:r>
        <w:t>An sich wäre die Sache ans Konkursgericht zurückzuweisen, für eine neue Vorladung. Der Schuldner hat aber die Forderung bei der Obergerichtskas- se hinterlegt. Dabei hat er auch die hundert Franken deponiert, welche das Kon- kursgericht für die Erledigung der Sache vor Konkurseröffnung verlangt. Da sein Urteil aufgehoben wird, ist das Verfahren wieder in diesem Stadium. Und die Gläubigerin verzichtet auf Weiterungen (act. 18). Die Kosten von Konkursamt und Obergericht sind auf die Staatskasse zu nehmen, da die Aufhebung des Konkurses wegen eines Fehlers des Konkursge- richts erfolgt. Die diversen Zahlungen sind beim Konkursamt C._____ zusammen zu füh- ren, damit dieses der Gläubigerin deren Forderung (Fr. 1'634.95) und den ganzen Vorschuss (Fr. 1'800.--) überweisen kann.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