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PS190239 vom 9. Januar 2020</w:t>
      </w:r>
    </w:p>
    <w:p>
      <w:r>
        <w:t>ZH Obergericht, 2020-01-09, DE</w:t>
      </w:r>
    </w:p>
    <w:p>
      <w:r>
        <w:rPr>
          <w:b/>
        </w:rPr>
        <w:t xml:space="preserve">Quelle: </w:t>
      </w:r>
      <w:r>
        <w:t>https://mcp.opencaselaw.ch/entscheid/zh_obergericht_PS190239</w:t>
      </w:r>
    </w:p>
    <w:p>
      <w:r>
        <w:t>FR: ZH_OBERGERICHT PS190239 du 9 janvier 2020</w:t>
      </w:r>
    </w:p>
    <w:p>
      <w:r>
        <w:t>IT: ZH_OBERGERICHT PS190239 del 9 gennaio 2020</w:t>
      </w:r>
    </w:p>
    <w:p>
      <w:pPr>
        <w:pStyle w:val="Heading2"/>
      </w:pPr>
      <w:r>
        <w:t>Erwägungen</w:t>
      </w:r>
    </w:p>
    <w:p>
      <w:r>
        <w:rPr>
          <w:b/>
        </w:rPr>
        <w:t>E. 2</w:t>
      </w:r>
    </w:p>
    <w:p>
      <w:r>
        <w:t>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angefochtene Ent- scheid nach Auffassung der Beschwerde führenden Partei unrichtig sein soll, an- sonsten auf die Beschwerde nicht eingetreten wird. Mit der Beschwerde kann die unrichtige Rechtsanwendung und die offensichtlich unrichtige Feststellung des Sachverhaltes geltend gemacht werden (Art. 320 ZPO). Neue Tatsachen und Beweismittel sind im Beschwerdeverfahren ausgeschlossen (Art. 326 ZPO). 3.1. C._____ beantragte für seine "kranke Ehefrau A._____ gem. ZGB Art. 374 sinngem." vor Vorinstanz die Aufhebung einer gegen diese gerichteten Betrei- bung i.S.v. Art. 85 SchKG (act. 1). Wie dies bereits die Vorinstanz in der Verfü- gung vom 17. Juli 2019 (act. 3) wie auch mit Verfügung vom 19. November 2019 (act. 17) zutreffend festhielt, hat der Ehegatte, der mit einer Person, die urteilsun- fähig wird, einen gemeinsamen Haushalt führt oder ihr regelmässigen Beistand leistet, von Gesetzes wegen ein Vertretungsrecht, wenn weder ein Vorsorgeauf- trag noch eine entsprechende Beistandschaft besteht (Art. 374 Abs. 1 ZGB). Für Rechtshandlungen im Rahmen der ausserordentlichen Vermögensverwaltung muss der Ehegatte indes die Zustimmung der Erwachsenenbehörde einholen (Art. 374 Abs. 3 ZGB). Zur ausserordentlichen Vermögensverwaltung zählt die Prozessführung um vermögensrechtliche Fragen, unabhängig von der Tragweite</w:t>
      </w:r>
    </w:p>
    <w:p>
      <w:r>
        <w:t>- 4 - des Prozessgegenstandes (BSK ZGB I-REUSSER, 6. Aufl. 2018, Art. 374 N 52 m.w.H.). In diesem Sinne ist nicht zu beanstanden, wenn die Vorinstanz zwecks Nachweis der Vertretungsbefugnis und unter Nachsicht von Art. 132 Abs. 1 ZPO C._____ Frist ansetzte, seine Vertretungsbefugnis zu belegen unter dem Hinweis, dass bei Säumnis die Eingabe als nicht erfolgt gelte, und es ist ebenfalls nicht zu beanstanden, dass die Vorinstanz das Verfahren androhungsgemäss abschrieb, nachdem C._____ die ihm angesetzte und einmal erstreckte Frist ungenutzt ver- streichen liess. 3.2. Dem hält C._____ in seiner Beschwerde auch nichts entgegen (vgl. act. 18). Er macht insbesondere nicht geltend, die Vorinstanz habe von ihm zu Unrecht ei- nen entsprechenden Nachweis von der KESB verlangt bzw. die von ihm ergange- ne Eingabe zu Unrecht als nicht erfolgt behandelt und das Verfahren in der Folge abgeschrieben. Vielmehr macht er (nicht sachdienliche) Ausführungen dazu, weshalb die Beschwerdegegnerin seiner Ansicht nach nicht rechtsgenügend ver- treten gewesen sei, wobei offen bleibt, auf was für ein Verfahren sich diese Aus- führungen beziehen. Was C._____ sodann mit seinen Ausführungen meint, die Vorinstanz sei nicht befähigt, "gemäss dem Gesuch der KESB vom 31.08.18 eine andere Person als Rechtsvertreter für meine Ehefrau A._____ zu bestimmen", womit feststehe, dass er seine Frau umfassend vertreten könne, ist ebenfalls un- klar. Wenn C._____ vorbringt, er sei vollumfänglich und uneingeschränkt der Rechtsvertreter seiner Ehefrau seit tt.01.1956 (act. 18 S. 1), so unterliegt er of- fenbar dem Irrtum, aus der Stellung als Ehemann – der tt. Januar 1956 ist das Heiratsdatum (act. 20/A2 S. 1) – folge seine Berechtigung, für die Ehefrau Pro- zesse zu führen. Soweit C._____ sodann geltend macht, seine Frau habe am 30. Mai 2015 den dritten Hirnschlag erlitten, weshalb sie "urteilsunfähig und schuldun- fähig ist gemäss ZGB Art. 374", handelt es sich um eine Wiederholung seines be- reits vor Vorinstanz eingenommenen Standpunktes. Eine Auseinandersetzung mit dem vorinstanzlichen Entscheid erfolgt nicht, weshalb auf die Beschwerde man- gels hinreichender Begründung nicht einzutreten ist.</w:t>
      </w:r>
    </w:p>
    <w:p>
      <w:r>
        <w:t>- 5 - 3.3.1 C._____ macht neu geltend, es bestehe ein Vorsorgeauftrag der Ehefrau und sinngemäss, er sei gestützt auf diesen zur Vertretung seiner Ehefrau im Ver- fahren ermächtigt (act. 18 S. 1 u. act. 20/A3). Für das vorliegende Verfahren ist dieses Vorbringen verspätet und daher nicht beachtlich. C._____ ist zudem da- rauf hinzuweisen, dass er für seine Frau gestützt auf diesen Vorsorgeauftrag erst dann zu Handlungen berechtigt ist, wenn dieser durch die KESB geprüft wurde. Namentlich prüft die KESB, ob der Vorsorgeauftrag gültig errichtet worden ist, die Voraussetzungen für dessen Wirksamkeit eingetreten sind (insb. auch, ob die Ehefrau tatsächlich urteilsunfähig ist), die darin beauftragte Person für ihre Aufga- be geeignet ist und ob weitere Massnahmen des Erwachsenenschutzes erforder- lich sind. Sodann hat C._____ gegenüber der KESB zu erklären, ob er den Vor- sorgeauftrag annimmt. Tut er dies und sind die übrigen Voraussetzungen erfüllt, wird die KESB in einer Feststellungverfügung die Person des Beauftragten sowie den Inhalt des Auftrages festhalten. Zudem wird C._____ von der KESB eine Le- gitimationsurkunde ausgestellt, damit er sich als vorsorgebeauftragte Person ge- genüber Dritten (und damit auch gegenüber dem Gericht) ausweisen kann (vgl. Art. 363 ZGB; vgl. auch BSK ZGB I-JUNGO, 6. Aufl. 2018, Art. 363 N 27 ff.). 3.3.2 C._____ hat damit die KESB über die Urteilsunfähigkeit seiner Frau zu in- formieren und ihr den Vorsorgeauftrag zur Prüfung auszuhändigen. Nach positiver Prüfung und Übernahme des Vorsorgeauftrages steht es ihm frei, unter Beilage der entsprechenden Unterlagen der KESB – insbesondere des Legitimationsaus- weises – im Namen seiner Ehefrau erneut ein Verfahren vor Vorinstanz zwecks Aufhebung der Betreibung einzureichen. 3.3.3 An die Vorinstanz gerichtet ist zudem darauf hinzuweisen, dass es sich bei C._____ zum einen um einen juristischen Laien handelt. Zum andern weist der Nachweis der Vertretungsbefugnis in einem Fall wie dem vorliegenden doch eine gewisse Komplexität auf und es dürfte die rechtliche oder tatsächliche Relevanz der im einzelnen vorzunehmenden Schritte für juristisch nicht versierte Personen nicht ohne weiteres klar sein. Damit die Suche nach der materiellen Wahrheit nicht bereits am Unvermögen einer Partei scheitert, sieht Art. 56 ZPO vor, dass das Gericht durch entsprechende Fragen Gelegenheit zur Klarstellung und Er-</w:t>
      </w:r>
    </w:p>
    <w:p>
      <w:r>
        <w:t>- 6 - gänzung gibt, sollte ein Vorbringen unklar, widersprüchlich, unbestimmt oder of- fensichtlich unvollständig sein. Dies muss auch gelten, wenn wie hier ein juristi- scher Laie (von dem zumindest nicht ausgeschlossen werden kann, dass er zur Vertretung einer Partei befugt ist) mit der Frage, wie er seine Vertretungsbefugnis nachzuweisen hat, überfordert scheint. Sollte C._____ ein neues Verfahren für seine Ehefrau einleiten und der Nachweis seiner Vertretungsbefugnis trotz der oben erfolgten Erläuterungen nicht oder unvollständig erbringen, kann es sich damit mit Blick auf die richterliche Fra- gepflicht (Art. 56 ZPO) rechtfertigen, statt bloss einer schriftlichen Aufforderung zur Nachbesserung im Sinne von Art. 132 ZPO C._____ mündlich über das sei- nerseits erforderliche, weitergehende Vorgehen zu informieren. Dadurch besteht – im Sinne eines laienfreundlichen Vorgehens – die Gelegenheit, allfällige Unklar- heiten unkompliziert zu erläutern und es wird C._____ die Möglichkeit geboten, bei Verständnisproblemen seinerseits direkt Rückfragen zu stellen. 3.4. Zur Abweisung seines Akteneinsichtsgesuchs durch die Vorinstanz äussert sich C._____ nicht, weshalb darauf nicht einzugehen ist. Soweit C._____ mit Schreiben vom 6. Januar 2020 vor der Kammer um Ak- teneinsicht ersucht (act. 24 f.), ist er auf Art. 52 ZPO hinzuweisen, demgemäss das Akteneinsichtsrecht den Parteien zusteht. Die Vorinstanz sah die Vertre- tungsbefugnis von C._____ für das hier zu behandelnde Verfahren als nicht ge- geben bzw. nicht nachgewiesen an. Auf das gegen diesen Entscheid erhobene Rechtsmittel ist – wie gezeigt – nicht einzutreten. C._____ fehlt es an der erfor- derlichen Parteistellung bzw. am rechtsgenügenden Nachweis der Vertretungsbe- fugnis im Hinblick auf seine Ehefrau, welche Partei des Verfahrens ist. Entspre- chend hat er persönlich gestützt auf die ZPO keinen Anspruch auf Einsicht in die Akten. Auch gestützt auf § 131 Abs. 2 GOG steht Dritten grundsätzlich kein Ak- teneinsichtsrecht zu. Indes kann das Gericht Dritten Akteneinsicht dann gewäh- ren, wenn sie ein wissenschaftliches oder ein anderes schützenswertes Interesse geltend machen und der Einsichtnahme keine überwiegenden öffentlichen oder privaten Interessen entgegenstehen (§ 131 Abs. 3 lit. a u. b GOG). Ein wissen- schaftliches oder schützenswertes Interesse für das hiesige Verfahren macht C._____ nicht geltend. In seinem Gesuch nimmt er vielmehr einzig Bezug auf (of-</w:t>
      </w:r>
    </w:p>
    <w:p>
      <w:r>
        <w:t>- 7 - fenbar) das Verfahren FV170006 (vgl. auch seine Beilage act. 25/0–1, welche mit dem hiesigen Verfahren in keinen Zusammenhang stehen). Dieses Verfahren ist hier nicht Gegenstand und dessen Akten befinden sich nicht bei der Kammer. Auf das Gesuch ist daher bereits aus diesem Grund nicht weiter einzugehen.</w:t>
      </w:r>
    </w:p>
    <w:p>
      <w:r>
        <w:rPr>
          <w:b/>
        </w:rPr>
        <w:t>E. 4</w:t>
      </w:r>
    </w:p>
    <w:p>
      <w:r>
        <w:t>Die Kosten für das Rechtsmittelverfahren sind C._____ aufzuerlegen. Mit Blick auf den Streitwert von rund Fr. 10'800.– (vgl. act. 2/1) und in Anwendung von Art. 48 i.V.m. Art. 61 GebV SchKG ist die Entscheidgebühr auf Fr. 100.– fest- zusetzen.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