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PS190211 vom 2. Dezember 2019</w:t>
      </w:r>
    </w:p>
    <w:p>
      <w:r>
        <w:t>ZH Obergericht, 2019-12-02, DE</w:t>
      </w:r>
    </w:p>
    <w:p>
      <w:r>
        <w:rPr>
          <w:b/>
        </w:rPr>
        <w:t xml:space="preserve">Quelle: </w:t>
      </w:r>
      <w:r>
        <w:t>https://mcp.opencaselaw.ch/entscheid/zh_obergericht_PS190211</w:t>
      </w:r>
    </w:p>
    <w:p>
      <w:r>
        <w:t>FR: ZH_OBERGERICHT PS190211 du 2 décembre 2019</w:t>
      </w:r>
    </w:p>
    <w:p>
      <w:r>
        <w:t>IT: ZH_OBERGERICHT PS190211 del 2 dicembre 2019</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w:t>
      </w:r>
    </w:p>
    <w:p>
      <w:r>
        <w:t>- 3 -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 Die Vorinstanz erwog, die Beschwerdeführerin habe bereits am 5. Oktober 2019 gegen die Betreibung Nr. … bzw. den Zahlungsbefehl des Betreibungsam- tes Zürich 7 vom 5. August 2019 Beschwerde erhoben, welche unter der Ge- schäfts-Nr. CB190151 angelegt worden sei. Im Rahmen dieses Beschwerdever- fahrens sei dem Betreibungsamt Frist zur Vernehmlassung und der Beschwerde- gegnerin Frist zur Beantwortung der Beschwerde angesetzt worden, insbesonde- re um die Zeichnungsberechtigung bzw. Vertretungsmacht des Unterzeichners des Betreibungsbegehrens urkundlich nachzuweisen. Auf die zweite Beschwerde gegen dieselbe Betreibung Nr. … sei deshalb wegen Litispendenz (Rechtshän- gigkeit) nicht einzutreten (act. 7 E. 3). 3.2. Die Beschwerdeführerin führt in ihrer Beschwerde an die Kammer aus, das Betreibungsamt habe zu überprüfen, ob ein Vertreter berechtigt sei, eine Betrei- bung einzureichen. Ein Laie gehe daher davon aus, das Betreibungsamt überprü- fe, ob ein Rechtsanwalt berechtigt und bevollmächtigt sei, eine Betreibung einzu- leiten. Da das Betreibungsamt bei Einreichung der Betreibung nicht überprüft ha- be, ob die Beschwerdeführerin Rechtsanwalt X._____ gehörig bevollmächtigt ha- be, sei die Betreibung zu löschen (act. 8). Die Beschwerdeführerin wiederholt damit im Wesentlichen ihren bereits vor Vorinstanz vorgetragenen Standpunkt, ohne sich mit den Erwägungen des vorinstanzlichen Entscheids auseinanderzu- setzen. Sie legt nicht einmal in rudimentärer Weise dar, inwiefern die Vorinstanz ihrer Auffassung nach das Recht unrichtig angewendet oder den Sachverhalt un- zutreffend festgestellt haben soll. Insbesondere zeigt sie nicht auf, inwiefern die</w:t>
      </w:r>
    </w:p>
    <w:p>
      <w:r>
        <w:t>- 4 - Vorinstanz zu Unrecht davon ausgegangen ist, die Sache sei bereits mit Be- schwerde vom 5. Oktober 2019 unter der Geschäfts-Nr. … rechtshängig gemacht worden. Damit genügt die Beschwerdebegründung den gesetzlichen Anforderun- gen nicht. Auf die Beschwerde ist folglich nicht einzutreten.</w:t>
      </w:r>
    </w:p>
    <w:p>
      <w:r>
        <w:rPr>
          <w:b/>
        </w:rPr>
        <w:t>E. 4</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