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PS190206 vom 27. Februar 2020</w:t>
      </w:r>
    </w:p>
    <w:p>
      <w:r>
        <w:t>ZH Obergericht, 2020-02-27, DE</w:t>
      </w:r>
    </w:p>
    <w:p>
      <w:r>
        <w:rPr>
          <w:b/>
        </w:rPr>
        <w:t xml:space="preserve">Quelle: </w:t>
      </w:r>
      <w:r>
        <w:t>https://mcp.opencaselaw.ch/entscheid/zh_obergericht_PS190206</w:t>
      </w:r>
    </w:p>
    <w:p>
      <w:r>
        <w:t>FR: ZH_OBERGERICHT PS190206 du 27 février 2020</w:t>
      </w:r>
    </w:p>
    <w:p>
      <w:r>
        <w:t>IT: ZH_OBERGERICHT PS190206 del 27 febbraio 2020</w:t>
      </w:r>
    </w:p>
    <w:p>
      <w:pPr>
        <w:pStyle w:val="Heading2"/>
      </w:pPr>
      <w:r>
        <w:t>Erwägungen</w:t>
      </w:r>
    </w:p>
    <w:p>
      <w:r>
        <w:rPr>
          <w:b/>
        </w:rPr>
        <w:t>E. 1</w:t>
      </w:r>
    </w:p>
    <w:p>
      <w:r>
        <w:t>Die C._____ Co Inc. (nachfolgend C._____) und die B._____ (nachfolgend Schuldnerin) schlossen am 10. September 2015 einen schriftlichen Darlehensver- trag, wonach die C._____ der Schuldnerin ein Darlehen von bis zu USD 143'298'000.– gewährt. Auf den tatsächlich gewährten Darlehensbetrag wurde eine Verzinsung von 0.5% pro Jahr vereinbart (act. 4/5). Bereits am 10. September 2015 kam es zu einer Reduktion des Darlehensbetrages auf USD 142'587'381.30 (vgl. act. 4/8 und act. 4/9). Die Umstände dieser Reduktion sind zwischen den Parteien strittig. Zentrale Streitfrage ist, wie der Darlehensver- trag hinsichtlich der Rückzahlung des Darlehens bzw. der Fälligkeit der Darle- hensrückerstattung auszulegen ist, worauf nachfolgend zurückzukommen sein wird. Am 23. Mai 2016 wurde die damals noch offene Forderung auf Darlehens- rückerstattung (USD 142'587'381.30 zuzüglich 0.5% Zins pro Jahr seit 10. September 2015) an die A._____ S.A. (nachfolgend Gläubigerin) abgetreten (act. 4/10; der verbleibende Betrag wurde um USD 10'000.– zu tief berechnet [vgl. act. 1 Rz. 10]). Mit Schreiben vom 25. Januar 2019 forderte die Gläubigerin die Schuldnerin auf, ihr das Darlehen samt Zins innerhalb von drei Arbeitstagen zu- rückzubezahlen (act. 4/11). Es erfolgte keine Rückzahlung.</w:t>
      </w:r>
    </w:p>
    <w:p>
      <w:r>
        <w:rPr>
          <w:b/>
        </w:rPr>
        <w:t>E. 1.1</w:t>
      </w:r>
    </w:p>
    <w:p>
      <w:r>
        <w:t>Grundlage der Arrestforderung bildet die zwischen der Schuldnerin und der C._____ am 10. September 2015 geschlossene Vereinbarung (act. 4/5). Grund- sätzlich sind sich die Parteien einig, dass diese Vereinbarung einst dem Willen der an ihrem Abschluss Beteiligten entsprochen habe. Sie messen aber den darin festgehaltenen Modalitäten über die Rückzahlung nach heutiger Darstellung eine unterschiedliche Bedeutung zu – diese sind entscheidend für die Frage der Fällig- keit der Arrestforderung und damit auch für die Aufrechterhaltung des Arrests. Ihr Streit um den Inhalt der Kündigungsmodalitäten stellt aber weder den Bestand der Vereinbarung noch der darin enthaltenen Klauseln in Frage. Es liegt damit ein sog. reiner Auslegungsstreit vor (vgl. zum Ganzen etwa BGer 4C.240/2003 vom 3. Dezember 2003, E. 3.1; ZK-JÄGGI/GAUCH/HARTMANN, 4. Aufl. 2014, Art. 18 OR N 336, BSK OR I-WIEGAND, 6. Aufl. 2015, Art. 18 N 9; BK OR-MÜLLER, Art. 18 N 31 ff., je m.w.H.).</w:t>
      </w:r>
    </w:p>
    <w:p>
      <w:r>
        <w:rPr>
          <w:b/>
        </w:rPr>
        <w:t>E. 1.2</w:t>
      </w:r>
    </w:p>
    <w:p>
      <w:r>
        <w:t>Aus Art. 18 Abs. 1 OR ergibt sich, dass sich der Inhalt des Vertrages primär nach dem übereinstimmenden wirklichen Willen (natürlicher Konsens) der Partei- en bestimmt (sog. empirische oder subjektive Vertragsauslegung; zum Vorrang der subjektiven Auslegung vgl. statt vieler z.B.: BGE 143 III 157, E. 1.2.2. m.w.H.). Beim wirklichen Willen handelt es sich um eine sog. innere Tatsache, die direkt nicht bewiesen werden kann. Es kann nur aus bestimmten Indizien auf das Vor- handensein eines solchen Willens geschlossen werden. Von empirischer Ausle- gung kann daher in dem Sinne gesprochen werden, als hinreichende Anhalts- punkte dafür bestehen, um einen Schluss auf den Willen der Parteien bei Abgabe der Erklärung zu ermöglichen. Hierbei können auch aus dem nachträglichen Ver-</w:t>
      </w:r>
    </w:p>
    <w:p>
      <w:r>
        <w:t>- 8 - halten Schlüsse gezogen werden, was die Parteien mit ihren Erklärungen tatsäch- lich wollten (BGE 142 III 239, E. 5.2.1.; BGE 140 III 86, E. 4.1; BGE 132 III 626, E. 3.1; BGE 129 III 675, E. 2.3; BSK OR-WIEGAND, a.a.O., Art. 18 N 11 ff.). Ergibt eine Prüfung, dass sich die Parteien zwar übereinstimmend geäus- sert, aber abweichend verstanden haben, liegt ein versteckter Dissens vor. Dieser führt nur zum Vertragsschluss, falls eine der Parteien nach dem Vertrauens- grundsatz in ihrem Verständnis der gegnerischen Willensäusserung zu schützen und damit die andere auf ihrer Äusserung in deren objektivem Sinn zu behaften ist (vgl. z.B. BGer 4A_574/2013 vom 15. Mai 2014, E. 3.1. m.w.H.; BSK OR I- WIEGAND, a.a.O., Art. 18 N 8; BK OR-MÜLLER, Art. 18 N 59 ff., insb. N 61). Bei der Auslegung nach dem Vertrauensgrundsatz (normative oder objektivierende Ver- tragsauslegung; sog. mutmasslicher Parteiwille) ermittelt das Gericht somit, wie jede Partei die Willensäusserung der anderen Partei nach Treu und Glauben un- ter den gegebenen Umständen verstehen durfte und musste. Vertragsinhalt ist, was vernünftig und redlich handelnde Parteien unter den gegebenen Umständen durch die Verwendung der auszulegenden Worte oder ihres sonstigen Verhaltens ausgedrückt und folglich gewollt haben (statt vieler: BGE 143 III 157, E. 1.2.2). Diese allgemeinen Auslegungsgrundsätze gelten grundsätzlich auch im Verhältnis zu Dritten, welche Kraft Vereinbarung, Zession oder Subrogation an die Stelle der bisherigen Vertragspartei getreten sind (BSK OR I-WIEGAND, a.a.O., Art. 18 N 9).</w:t>
      </w:r>
    </w:p>
    <w:p>
      <w:r>
        <w:rPr>
          <w:b/>
        </w:rPr>
        <w:t>E. 2</w:t>
      </w:r>
    </w:p>
    <w:p>
      <w:r>
        <w:t>Am 31. Januar 2019 stellte die Gläubigerin beim Bezirksgericht Zürich, Ein- zelgericht Audienz, ein Arrestgesuch und verlangte die Verarrestierung diverser Forderungen, Guthaben, Vermögenswerte, Safeinhalte und Barschaften der Schuldnerin und/oder die Verarrestierung dieser Werte, soweit die Schuldnerin an diesen Vermögenswerten wirtschaftlich berechtigt ist, gegenüber bzw. bei der D._____ AG (act. 1). Das Einzelgericht Audienz wies das Arrestgesuch mit Urteil vom 5. Februar 2019 ab. Es erachtete die Fälligkeit der Arrestforderung als nicht glaubhaft gemacht (act. 8). Dagegen erhob die Gläubigerin am 18. Februar 2019 Beschwerde an die Kammer (act. 9). Die Kammer hiess die Beschwerde mit Urteil vom 13. März 2019 teilweise gut, hob das Urteil des Einzelgerichtes Audienz vom</w:t>
      </w:r>
    </w:p>
    <w:p>
      <w:r>
        <w:t>- 3 -</w:t>
      </w:r>
    </w:p>
    <w:p>
      <w:r>
        <w:rPr>
          <w:b/>
        </w:rPr>
        <w:t>E. 2.1</w:t>
      </w:r>
    </w:p>
    <w:p>
      <w:r>
        <w:t>Zur Frage nach dem Inhalt der Vereinbarung vom 10. September 2015 stell- te sich die Gläubigerin vor Vorinstanz auf den Standpunkt, bereits aus dem Wort- laut der Vereinbarung ergebe sich, dass die Kündigung jederzeit möglich sei, womit die Rückzahlungsaufforderung vom 25. Januar 2019 (act. 4/11) gültig und die Forderung fällig sei (act. 24 Rz. 11 f.). Auch aus der Teilrückzahlung des Dar- lehens vom 10. September 2015 (vgl. hiervor E. I./1.) lasse sich auf den natürli- chen Konsens der Parteien schliessen, dass eine Rückzahlung jederzeit verlangt werden könne (act. 24 Rz. 12 ff.). Zudem führe eine normative Auslegung des Vertrages ebenfalls zu keinem anderen Ergebnis (act. 24 Rz. 23 ff.). Die Schuldnerin stellte sich im Rahmen der Arresteinsprache hingegen auf den Standpunkt, sie sei von einem fixen Fälligkeitsdatum und damit nicht von der</w:t>
      </w:r>
    </w:p>
    <w:p>
      <w:r>
        <w:t>- 9 - jederzeitigen Kündbarkeit des Vertrages ausgegangen (act. 12 Rz. 25 ff.). Zudem bestreitet sie auch das tatsächliche Vorbringen der Gläubigerin, wonach es am</w:t>
      </w:r>
    </w:p>
    <w:p>
      <w:r>
        <w:rPr>
          <w:b/>
        </w:rPr>
        <w:t>E. 2.2</w:t>
      </w:r>
    </w:p>
    <w:p>
      <w:r>
        <w:t>Die Vorinstanz hatte vor diesem Hintergrund in einem ersten Schritt geprüft, ob es sich bei den Vorgängen vom 10. September 2015 tatsächlich um eine Teilrückzahlung gehandelt habe und daraus auf einen natürlichen Konsens ge- schlossen werden könne, was sie verneinte. In einem weiteren Schritt prüfte die Vorinstanz das Vorliegen eines normativen Konsenses und schloss, es erscheine glaubhafter, dass eine jederzeitige Kündigung nicht möglich gewesen sei (act. 28). Beides rügt die Gläubigerin mit ihrer Beschwerde und hält an der Fällig- keit der Forderung fest (act. 29). 3.1.1 Aus der angeblich erfolgten "Teilrückzahlung" von USD 700'618.70 vom</w:t>
      </w:r>
    </w:p>
    <w:p>
      <w:r>
        <w:rPr>
          <w:b/>
        </w:rPr>
        <w:t>E. 5</w:t>
      </w:r>
    </w:p>
    <w:p>
      <w:r>
        <w:t>Februar 2019 auf, und erteilte einen Arrestbefehl nach Massgabe des separa- ten Formulars „Arrestbefehl“ (act. 8 = act. 14/6 = act. 17/15 = act. 32). Am 15. März 2019 um 09.00 Uhr vollzog das Betreibungsamt Zürich 1 den Arrestbefehl, wobei es gleichzeitig die Frist für die Schuldnerin zur Erhebung der Arresteinspra- che in Anwendung von Art. 33 Abs. 2 SchKG um 30 Tage verlängerte (act. 15/2; vgl. auch act. 19). Am 3. Mai 2019 wurde der Schuldnerin die Arresturkunde zu- gestellt (act. 15/1, vgl. auch act. 19). 3. Mit Eingabe vom 11. Juni 2019 erhob die Schuldnerin Arresteinsprache beim Bezirksgericht Zürich, Einzelgericht Audienz (nachfolgend Vorinstanz), mit dem Begehren, es sei der Arrest Nr. … des Betreibungsamtes Zürich 1 aufzuhe- ben (act. 12). Sie begründete die Einsprache in erster Linie damit, die Darlehens- forderung sei noch nicht zur Rückzahlung fällig gewesen. Die Gläubigerin nahm innert ihr hierzu angesetzter (und erstreckter) Frist Stellung zur Arresteinsprache (act. 20–24). Am 14. Oktober 2019 hiess die Vorinstanz die Arresteinsprache der Schuldnerin gut und erkannte weiter, der Arrestbefehl vom 13. März 2019 (Arrest Nr. …) des Betreibungsamts Zürich 1 sei nach unbenutztem Ablauf der Be- schwerdefrist oder nach Abschluss des obergerichtlichen Verfahrens aufgehoben, falls das Obergericht nichts anderes anordne. Die Vor-instanz begründete ihren Entscheid damit, dass die Arrestforderung noch nicht fällig sei (act. 25 = act. 28 = act. 30, nachfolgend zitiert als act. 28). 4.1. Gegen das Urteil vom 14. Oktober 2019 erhob die Gläubigerin rechtzeitig Beschwerde mit folgenden Rechtsbegehren (act. 29 S. 2, vgl. zur Rechtzeitigkeit act. 26a): "Es sei das Urteil des Bezirksgerichts Zürich, Einzelgericht Audienz, vom 14. Oktober 2019, Geschäfts-Nr. EQ190133 aufzuheben und es seien die folgenden Vermögenswerte der Arrestschuldnerin gemäss Arresturkunde vom 15. März 2019 des Betreibungsamtes Zürich 1, Arrest Nr. … unter Ar- rest zu belassen: sämtliche Forderungen, Guthaben, Vermögenswerte, Safeinhalte und Bar- schaften in in- und ausländischer Währung lautend auf die Arrestschuldne- rin gegenüber bzw. bei der D._____ AG, … [Adresse], insbesondere und</w:t>
      </w:r>
    </w:p>
    <w:p>
      <w:r>
        <w:t>- 4 - nicht abschliessend das Hauptkonto mit der Stamm-Nr. … und die Unter- konten mit den Nrn. …; …, …, …, …, …, …, …, …, …, … sowie …; bis zur Deckung der Arrestforderung samt Zins und Kosten soweit verarrestierbar bis zur Sperrlimite von Fr. 175 Mio. Eventualiter sei das Urteil des Bezirksgerichts Zürich, Einzelgericht Audi- enz, vom 14. Oktober 2019; Geschäfts-Nr. EQ190133 aufzuheben und die Sache zur Neubeurteilung an die Vorinstanz zurückzuweisen; alles unter Kosten- und Entschädigungsfolgen zulasten der Beschwerde- gegnerin." 4.2. Die Akten der Vorinstanz wurden beigezogen (act. 1–26). Mit Verfügung vom 4. November 2019 wurde der Gläubigerin Frist zur Leistung eines Kosten- vorschusses angesetzt und es wurde die Prozessleitung delegiert (act. 33). Die Gläubigerin leistete den Vorschuss innert Frist (act. 40 i.V.m. act. 34). Mit Eingabe vom 7. November 2019 verlangte die Gläubigerin, es sei der Beschwerde vom 28. Oktober 2019 superprovisorisch die aufschiebende Wirkung zu erteilen, da das Betreibungsamt Zürich 1 zwischenzeitlich bereits die Aufhebung des Arrests verfügt habe (act. 35 u. 36). Mit Verfügung vom 7. November 2019 trat die Kam- mer auf das Gesuch um Erteilung der aufschiebenden Wirkung nicht ein. Dies, da gemäss Anordnung der Vorinstanz der Arrestbefehl erst nach unbenutztem Ablauf der Beschwerdefrist oder nach Abschluss des obergerichtlichen Verfahrens auf- gehoben werde. Das Betreibungsamt wurde förmlich auf diesen Umstand hinge- wiesen, damit es seine Anordnung revozieren und der Gläubigerin eine förmliche Beschwerde ersparen könne (act. 37). Am 20. Januar 2020 fand eine Beratung statt (Prot. S. 4). Mit gleichentags ergangener Verfügung wurde der Schuldnerin Frist zur Beantwortung der Beschwerde angesetzt (act. 41). Die Beschwerdeant- wort ging bei der Kammer am 3. Februar 2019 innert Frist ein (act. 43 i.V.m. act. 42). 4.3. Das Verfahren ist spruchreif. Der Gläubigerin ist zusammen mit diesem Ur- teil ein Doppel der Beschwerdeantwort (act. 43) zuzustellen.</w:t>
      </w:r>
    </w:p>
    <w:p>
      <w:r>
        <w:t>- 5 - II. 1. Einleitend festzuhalten ist, dass das die Arresteinsprache beurteilende Ge- richt nicht an die Erwägungen derjenigen Gerichte, die den Arrest beurteilt bzw. den Arrestbefehl erteilt haben, gebunden ist. Vielmehr ist es von Gesetzes wegen zuständig, über die Zulässigkeit und Begründetheit der Arresteinsprache zu ent- scheiden (BGer 5A_834/2011 vom 21. Januar 2013, E. 3.3.2). Entsprechend war die Vorinstanz – entgegen der offenbaren Ansicht der Gläubigerin (act. 29 Rz. 6 ff.) – nicht an die Erwägungen der Kammer im Zusammenhang mit der Er- teilung des Arrestbefehls gebunden. Ebenso wenig ist die Kammer – als das die Beschwerde betreffend die Arresteinsprache beurteilende Gericht – an ihre Erwä- gungen in ihrem Entscheid vom 13. März 2019 gebunden.</w:t>
      </w:r>
    </w:p>
    <w:p>
      <w:r>
        <w:rPr>
          <w:b/>
        </w:rPr>
        <w:t>E. 10</w:t>
      </w:r>
    </w:p>
    <w:p>
      <w:r>
        <w:t>September 2015 (vgl. act. 4/5) ergibt sich das Folgende: 4.3.2 Unter dem Titel "Period" findet sich die Bestimmung, dass das Darlehen 60 Monate nach Transferierung des Darlehensbetrages an die Schuldnerin fällig wird: "The maturity date is 60 (Sixty) months, beginning from the date in which the amount speci- fied above is transferred to the Borrower." Als "Maturity Date" wird anschliessend der 9. September 2020 definiert. Im Anschluss findet sich unter dem Titel "Repayment" die folgenden Bestimmungen: "The loan facility shall be repayable by the Borrower on demand at the Lender's first re- quest, in writing.</w:t>
      </w:r>
    </w:p>
    <w:p>
      <w:r>
        <w:t>- 20 - The Borrower may repay all or part of the Loan Facility outstanding at any time without pen- alty." 4.3.3 Die Vorinstanz befasste sich mit dem Verhältnis der Laufzeit und des "Matu- rity Date" (Fälligkeitsdatum) zur Frage der jederzeitigen Rückforderbarkeit und er- sah darin einen Widerspruch. Dem kann nicht gefolgt werden – der Wortlaut der Vereinbarung erscheint klar. Dass ein befristeter Vertrag vorzeitig aufgelöst wer- den kann, stellt keinen Widerspruch dar, ein Kündigungsrecht ist auch im Rahmen einer Befristung sinnvoll. So ergibt sich aus dem Wortlaut unmissverständlich, dass die Schuldnerin die "loan facility" auf erste schriftliche Aufforderung der Gläubigerin zurückzube- zahlen hat. Aus dem Passus ergibt sich nirgends, dass diese Regelung nur unter bestimmten Bedingungen gelten soll, namentlich nach Ablauf einer bestimmten Zeit. Bereits aus diesem klaren Wortlaut alleine ergibt sich, dass diese Klausel nichts anderes als die Möglichkeit der jederzeitigen Rückforderbarkeit des Darle- hens durch die Gläubigerin bedeutet – und zwar auch während der "period" und damit vor Erreichen des "maturitiy date". Falsch und mit dem übrigen Vertragstext nicht in Übereinstimmung zu brin- gen ist es, das "maturitiy date" bzw. die "period" im Sinne einer garantierten Mi- nimallaufzeit zu verstehen, ergäben doch diesfalls weitere Regelungen zum "Re- payment" keinerlei Sinn. Denn in diesem Fall müssten die unter "Repayment" ge- troffenen Bestimmungen so verstanden werden, dass die Rückzahlung durch die Gläubigerin erst nach Ablauf der 60 Monate verlangt werden könnte. Was wiede- rum bedeutete, dass die Parteien davon ausgingen, bei Erreichen des "maturity date" sei – damit es zur Rückzahlung komme – zusätzlich die schriftliche Auffor- derung der Gläubigerin auf Rückzahlung erforderlich. Dies ist aber gerade nicht der Fall: Unter dem auf das "Repayment" folgenden Titel "Interest" ergibt sich nämlich klar, dass die Schuldnerin die "Loan Facility" nicht später als am "maturity date" zurückzuzahlen habe ("The Borrower shall repay the loan facility together with all interests […] not later than the maturity date."). Damit haben die Parteien geregelt, dass bei Erreichen des Fälligkeitsdatums die Schuldnerin von sich aus den offenen Betrag gleichentags an die Gläubigerin zu leisten hat, ohne dass es</w:t>
      </w:r>
    </w:p>
    <w:p>
      <w:r>
        <w:t>- 21 - einer zusätzlichen Aufforderung bedarf. Bestünde somit keine Rückforderungs- möglichkeit vor diesem Datum, erübrigte sich die Regelung der entsprechenden Modalitäten vollumfänglich, da das Darlehen von Vertrags wegen am Stichtag zur Rückzahlung fällig wird, ohne weitere Handlungen der Parteien – insbesondere ohne entsprechende Aufforderung der Gläubigerin an die Schuldnerin. In diesem Sinne ist es nicht richtig, wenn man das "maturitiy date" als mini- male bzw. fixe Laufzeit des Darlehens interpretiert. Sinn ergibt vielmehr – und so muss die Vereinbarung letztlich auch im Sinne einer objektivierten Auslegung ver- standen werden – dass das Darlehen für die Maximallaufzeit von 60 Monaten zur Verfügung gestellt wird. Bei Erreichen des Stichtages ist der Betrag zuzüglich des "interest" ohne weitere Aufforderung zurückzubezahlen. So verstand im Übrigen offenbar auch die Schuldnerin den Begriff des "maturitiy date", wenn sie vor Vor- instanz ausführte: Soweit die Schuldnerin das Darlehen effektiv beanspruche, müsse sie dieses spätestens am «mautrity date» zurückbezahlen (act. 12 Rz. 35). Während dieser Laufzeit besteht daneben aufgrund des klaren Wortlauts jederzeit die Möglichkeit für die Gläubigerin, schriftlich die Rückzahlung innert dreier Tage zu verlangen, wie sie es mit Schreiben vom 25. Januar 2019 tat (act. 4/11). Wie bereits die Vorinstanz zutreffend erkannte, findet sich unter dem Titel "Repayment" zudem auch das Gegenstück zur jederzeitigen Rückforderbarkeit durch die Gläubigerin. So ist es auch der Schuldnerin möglich, jederzeit Teile des Darlehens oder das gesamte Darlehen an die Schuldnerin zurückzubezahlen, und zwar "without penalty", also ohne Strafe. Zwischen den Parteien ist unstrittig, dass diese Klausel auch während der 60-monatigen Laufzeit gilt. Die Vorinstanz argumentiert, in dieser Regelung zugunsten der Schuldnerin sei kein Gegenstück zur jederzeitigen Rückforderbarkeit durch die Gläubigern zu sehen, sondern sie unterstreiche den Charakter der Kreditfazilität als variabel ausschöpfbare Kreditlimite, welche es dem Kreditnehmer erlaube, die Höhe der Inanspruchnahme zu variieren, ohne eine Strafe zu bezahlen. Die Vorinstanz übersieht bei dieser Argumentation, dass selbst die Schuldnerin diese Regelung nicht vor diesem Hintergrund versteht, sondern vielmehr auf den Umstand hin- weist, dass bei befristeten Darlehen grundsätzlich ohne gegenteilige Vereinba- rung eine Vorfälligkeitsentschädigung anfalle (vgl. act. 12 Rz. 33). Sie selbst ver-</w:t>
      </w:r>
    </w:p>
    <w:p>
      <w:r>
        <w:t>- 22 - steht die Vereinbarung also so, dass im Falle der jederzeitigen Teil- oder Gesamt- rückzahlung keine solche "Strafe" im Sinne einer Vorfälligkeitsentschädigung zu leisten ist, und eben nicht als Untermauerung der Möglichkeit, die Höhe des Kre- dits flexibel zu variieren. Dies unterstreicht, dass die Regelungen unter dem Titel "Repayment" in erster Linie die Möglichkeit der Rückzahlung während der Lauf- zeit der 60-monatigen Periode zum Gegenstand haben – und zwar sowohl auf Veranlassung der Gläubigerin als auch der Schuldnerin. Im Ergebnis ist der Vor- instanz aber insofern zuzustimmen, als diese Regelung es der Schuldnerin letzt- lich auch ermöglicht, den bezogenen Kredit variabel jederzeit zu verringern. 4.3.4 Es kann im Übrigen entgegen der Auffassung der Vorinstanz im vereinbar- ten Verwendungszweck des Darlehens kein Argument gegen die jederzeitige Rückforderbarkeit gesehen werden. Die Vorinstanz betrachtet die Vereinbarung nach einem ökonomischen Gesichtspunkt nur einseitig, ohne dass die genauen Umstände, welche zum Vertragsschluss führten, bekannt wären. Ihre Ausführun- gen zum Verwendungszweck erscheinen vor diesem Hintergrund spekulativ und lassen die Interessenlage der Gläubigerin ausser Betracht. Insbesondere wird das Argument der Vorinstanz, die Schuldnerin sei auf eine Planungssicherheit ange- wiesen, was gegen die jederzeitige Kündbarkeit spreche, durch die Vereinbarung selbst widerlegt. So ist (wie gezeigt, E. III./3.2.2.5) zwischen den Parteien unstrit- tig, dass es der Gläubigerin gemäss der sich unter dem Titel "Amount" findenden Regelung frei gestanden hat, den Wert der "loan facility" nach eigenem Ermessen zu erhöhen oder herabzusetzen. Eine (beliebige, im Ermessen der Gläubigerin stehende) Reduktion war damit auch nach dem Verständnis der Schuldnerin je- derzeit möglich (vgl. act. 12 Rz. 42 a), womit sie offenbar einverstanden war. Eine Reduktion kann letztlich auch bis hin zu einem Minimalbetrag (z.B. von USD 1.–) erfolgen. Für die Schuldnerin wirkte sich dies im Ergebnis gleich aus, wie wenn sie den gesamten Betrag zurückzubezahlen hätte. Trotzdem war sie mit dieser Klausel einverstanden, ging also bewusst das Risiko ein, kurzfristig erhebliche Beträge aus dem Darlehen zurückleisten zu müssen. Wenn sie dieses Risiko in Kauf nahm, erscheint mit Blick auf den klaren Wortlaut der Vereinbarung über- zeugend, dass sie auch das Risiko der jederzeitig verlangten Gesamtrückzahlung in Kauf genommen hat, und dies muss sie gegen sich gelten lassen.</w:t>
      </w:r>
    </w:p>
    <w:p>
      <w:r>
        <w:t>- 23 - 4.3.5 Es ist damit dem Vertragsverständnis der Gläubigerin zu folgen. Die Schuldnerin hat das Resultat der normativen Vertragsauslegung gegen sich gel- ten zu lassen, wonach der Vertrag vertrauenstheoretisch nicht anders verstanden werden kann, als dass die schriftliche Aufforderung zur Rückzahlung des Darle- hens durch die Gläubigerin jederzeit möglich war. 5. Es ist damit von der Gültigkeit der Zahlungsaufforderung vom 25. Januar 2019 (act. 4/12) auszugehen, womit Bestand und Fälligkeit der Arrestforderung glaubhaft sind. Das Vorliegen der weiteren Arrestvoraussetzungen (Art. 272 SchKG) bestreitet die Schuldnerin in ihrer Arresteinsprache bzw. in ihrer Be- schwerdeantwort nicht, weshalb deren Vorliegen als unbestritten zu gelten hat und der Arrest aufrecht zu erhalten ist. Der vorinstanzliche Entscheid ist damit aufzuheben und die Arresteinspra- che der Schuldnerin vom 11. Juni 2019 ist abzuweisen. IV. 1. Die Prozesskosten werden grundsätzlich der unterliegenden Partei auferlegt (Art. 106 Abs. 1 ZPO). Nachdem die Arresteinsprache der Schuldnerin abgewie- sen wird, wird sie für das erst- und zweitinstanzliche Einspracheverfahren kosten- und entschädigungspflichtig. 2. Die Spruchgebühr für das vorinstanzliche Verfahren ist in Anwendung von Art. 48 GebV SchKG auf Fr. 2'000.– festzusetzen und der Schuldnerin aufzuerle- gen. Zudem hat die Schuldnerin die Gläubigerin für das vorinstanzliche Verfahren mit Fr. 5'000.– zu entschädigen. Da die Gläubigerin bei der Vorinstanz den Ersatz der Mehrwertsteuer nicht beantragt hat (act. 24 S. 2), ist sie ihr auch nicht zuzu- sprechen. 3. Die Kosten für das Rechtsmittelverfahren sind unter Berücksichtigung des Streitwerts von weiter über einer Million Franken sowie in Anwendung von Art. 61 Abs. 1 i.V.m. SchKG Art. 48 GebV SchKG auf Fr. 3'000.– festzusetzen.</w:t>
      </w:r>
    </w:p>
    <w:p>
      <w:r>
        <w:t>- 24 - Weiter ist der Gläubigerin für das Rechtmittelverfahren in Anwendung § 2 Abs. 1, § 4 Abs. 1 und 2, § 9, § 11 Abs. 1 und § 13 AnwGebV eine Parteientschä- digung von Fr. 5'000.– zuzusprechen. Der Ersatz von Mehrwertsteuer wird auch im Rechtmittelsverfahren (zu Recht) nicht beantragt und ist daher nicht zuzuspre- chen (act. 29 S. 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