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PS190190 vom 4. November 2019</w:t>
      </w:r>
    </w:p>
    <w:p>
      <w:r>
        <w:t>ZH Obergericht, 2019-11-04, DE</w:t>
      </w:r>
    </w:p>
    <w:p>
      <w:r>
        <w:rPr>
          <w:b/>
        </w:rPr>
        <w:t xml:space="preserve">Quelle: </w:t>
      </w:r>
      <w:r>
        <w:t>https://mcp.opencaselaw.ch/entscheid/zh_obergericht_PS190190</w:t>
      </w:r>
    </w:p>
    <w:p>
      <w:r>
        <w:t>FR: ZH_OBERGERICHT PS190190 du 4 novembre 2019</w:t>
      </w:r>
    </w:p>
    <w:p>
      <w:r>
        <w:t>IT: ZH_OBERGERICHT PS190190 del 4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Das kantonale Steueramt erliess sodann diverse Sicherstellungsverfügungen und verschiedene Arrestbefehle an die zuständigen Betreibungsämter. Der Be- schwerdeführer und seine Ehefrau fochten sowohl die Veranlagungsentscheide als auch die Sicherstellungsverfügungen an. Mit Urteil vom 18. September 2018 beurteilte zuletzt das Bundesgericht die Veranlagungsentscheide betreffend die Nachsteuern für die Steuerjahre 2005 bis 2009 und die Steuern der Steuerjahre 2010 bis 2013. Die Beschwerden der Ehe- frau des Beschwerdeführers hiess es teilweise gut und wies die Angelegenheit an das kantonale Steueramt Zürich zur neuen Beurteilung zurück, während die Be- schwerden des Beschwerdeführers grösstenteils abgewiesen wurden (BGer 2C_799/2017 und 2C_800/2017 vom 18. September 2018; act. 2/5 = act. 11/9). In der Folge stellte die Beschwerdegegnerin für die Nachsteuern der direk- ten Bundessteuer der Jahre 2005 bis 2009 sowie für die direkte Bundessteuer der Jahre 2010 bis 2013 am 8. Oktober 2018 beim Betreibungsamt Rüti ein den Be- schwerdeführer betreffendes Betreibungsbegehren zur Prosequierung des Arres- tes Nr. 64 (act. 8 = act. 11/5). Der daraufhin vom Betreibungsamt Rüti ausgestell- te Zahlungsbefehl wurde von diesem in Wiedererwägung gezogen und die ent- sprechende Betreibung aufgehoben, nachdem der Beschwerdeführer Beschwer- de erhoben hatte (vgl. act. 2/26-28). Das Betreibungsamt Rüti stellte in der Folge einen neuen Zahlungsbefehl vom 8. Oktober 2018 in der Betreibung Nr. … aus (act. 2/2 = act. 11/4).</w:t>
      </w:r>
    </w:p>
    <w:p>
      <w:r>
        <w:t>- 3 -</w:t>
      </w:r>
    </w:p>
    <w:p>
      <w:r>
        <w:rPr>
          <w:b/>
        </w:rPr>
        <w:t>E. 1.2</w:t>
      </w:r>
    </w:p>
    <w:p>
      <w:r>
        <w:t>Gegen diesen Zahlungsbefehl erhob der Beschwerdeführer mit Eingabe vom 7. Dezember 2018 beim Bezirksgericht Hinwil (nachfolgend: Vorinstanz) er- neut Beschwerde und beantragte, es sei die Nichtigkeit des Zahlungsbefehls fest- zustellen, eventualiter sei der Zahlungsbefehl aufzuheben; weiter sei die Betrei- bung Nr. … aufzuheben (act. 1). Sowohl das Betreibungsamt Rüti als auch die Beschwerdegegnerin beantragten in der Vernehmlassung vom 18. Dezember 2018 resp. der Beschwerdeantwort vom 20. Dezember 2018 die Abweisung der Beschwerde (act. 7 und act. 10). Weil die Parteien aussergerichtliche Vergleichs- gespräche führten und beide um Sistierung des Verfahrens ersuchten (vgl. act. 10 und act. 17), wurde das Verfahren mit Beschluss vom 7. Januar 2019 bis Ende April 2019 sistiert (act. 18). Mit Beschluss vom 8. Mai 2019 wurde die Sistierung gestützt auf erneute übereinstimmende Anträge der Parteien (act. 20 und act. 25) bis zum 31. Juli 2019 weitergeführt (act. 26). In der Folge zeigte die Beschwerde- gegnerin mit Eingabe vom 24. Juni 2019 an, die Rechtsanwälte lic. iur. Y1._____, MLaw Y2._____ und MLaw Y3._____ von der Kanzlei B._____ AG mandatiert zu haben und ersuchte um Aufhebung der Sistierung (act. 28). Der Beschwerdefüh- rer hielt die Vertretung der Beschwerdegegnerin durch die von ihr beauftragten Anwälte für problematisch und war mit einer Aufhebung der Sistierung nicht ein- verstanden (act. 32); mit Eingabe vom 5. August 2019 beantragte er sinngemäss eine weitere Sistierung des Verfahrens, bis die Problematik der Vertretung der Beschwerdegegnerin geklärt sei (act. 37; vgl. auch act. 35, act. 39 und act. 41). Mit Beschluss vom 1. Oktober 2019 setzte die Vorinstanz das Verfahren fort und wies die Beschwerde mit Urteil vom selben Datum ab (act. 43 = act. 46 = act. 48; nachfolgend zitiert als act. 46).</w:t>
      </w:r>
    </w:p>
    <w:p>
      <w:r>
        <w:rPr>
          <w:b/>
        </w:rPr>
        <w:t>E. 1.3</w:t>
      </w:r>
    </w:p>
    <w:p>
      <w:r>
        <w:t>Daraufhin gelangte der Beschwerdeführer mit Beschwerde vom 17. Oktober 2019 an die Kammer und stellte folgende Begehren (act. 47): "1. Die Ziffer 1 des Dispositivs des angefochtenen Entscheids sei aufzuheben.</w:t>
      </w:r>
    </w:p>
    <w:p>
      <w:r>
        <w:rPr>
          <w:b/>
        </w:rPr>
        <w:t>E. 1.4</w:t>
      </w:r>
    </w:p>
    <w:p>
      <w:r>
        <w:t>Mit Verfügung vom 22. Oktober 2019 wurde auf den Antrag um Erteilung der aufschiebenden Wirkung nicht eingetreten und die Prozessleitung delegiert (act. 51).</w:t>
      </w:r>
    </w:p>
    <w:p>
      <w:r>
        <w:rPr>
          <w:b/>
        </w:rPr>
        <w:t>E. 1.5</w:t>
      </w:r>
    </w:p>
    <w:p>
      <w:r>
        <w:t>Die Akten der Vorinstanz wurden beigezogen (act. 1-44). Von der Einho- lung einer Beschwerdeantwort und einer Vernehmlassung der Vorinstanz kann abgesehen werden (Art. 20a Abs. 3 SchKG i.V.m. § 18 EG SchKG i.V.m. § 84 GOG i.V.m. Art. 322 Abs. 1 und Art. 324 ZPO); die Sache ist spruchreif. Der Be- schwerdegegnerin ist mit dem vorliegenden Entscheid lediglich ein Doppel der Beschwerdeschrift zuzustellen. 2. Prozessuale Vorbemerkungen</w:t>
      </w:r>
    </w:p>
    <w:p>
      <w:r>
        <w:rPr>
          <w:b/>
        </w:rPr>
        <w:t>E. 2</w:t>
      </w:r>
    </w:p>
    <w:p>
      <w:r>
        <w:t>Es sei festzustellen, dass der Zahlungsbefehl des Betreibungs- amtes Rüti vom 8. Oktober 2018 (Betreibung Nr. …) nichtig ist. Eventualiter: Der Zahlungsbefehl des Betreibungsamtes Rüti vom 8. Oktober 2018 (Betreibung Nr. …) sei aufzuheben.</w:t>
      </w:r>
    </w:p>
    <w:p>
      <w:r>
        <w:t>- 4 -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w:t>
      </w:r>
    </w:p>
    <w:p>
      <w:r>
        <w:t>- 5 -</w:t>
      </w:r>
    </w:p>
    <w:p>
      <w:r>
        <w:rPr>
          <w:b/>
        </w:rPr>
        <w:t>E. 2.2</w:t>
      </w:r>
    </w:p>
    <w:p>
      <w:r>
        <w:t>Mit der Beschwerde kann folglich die unrichtige Rechtsanwendung sowie die offensichtlich unrichtige Feststellung des Sachverhaltes geltend gemacht werden (Art. 320 ZPO). Gemäss Art. 321 Abs. 1 ZPO ist die Beschwerde bei der Rechts- mittelinstanz sodann schriftlich und begründet einzureichen. Im Rahmen der Be- gründung ist darzulegen, an welchen Mängeln der vorinstanzliche Entscheid lei- det. Die Beschwerde führende Partei hat sich mit anderen Worten mit dem ange- fochtenen Entscheid auseinanderzusetzen und im Einzelnen aufzuzeigen, aus welchen Gründen er falsch ist (OGer ZH PS110192 vom 21. Februar 2012 E. 5.1). Die Bezeichnung des angefochtenen Entscheides als "falsch" oder "rechtswidrig" genügt nicht (BK ZPO-Sterchi, Art. 321 N 18), ebenso wenig wie allgemeine Kritik (BGer 5D_65/2014 vom 9. September 2014 E. 5.4.1) oder das blosse Wiederholen der vorinstanzlichen Standpunkte (OGer ZH LB130045 vom</w:t>
      </w:r>
    </w:p>
    <w:p>
      <w:r>
        <w:rPr>
          <w:b/>
        </w:rPr>
        <w:t>E. 2.3</w:t>
      </w:r>
    </w:p>
    <w:p>
      <w:r>
        <w:t>Die vorliegende Aufsichtsbeschwerde wurde rechtzeitig (vgl. act. 44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 3. Zur Sistierung</w:t>
      </w:r>
    </w:p>
    <w:p>
      <w:r>
        <w:rPr>
          <w:b/>
        </w:rPr>
        <w:t>E. 3</w:t>
      </w:r>
    </w:p>
    <w:p>
      <w:r>
        <w:t>Es sei vorab über die prozessualen Anträge zu entscheiden."</w:t>
      </w:r>
    </w:p>
    <w:p>
      <w:r>
        <w:rPr>
          <w:b/>
        </w:rPr>
        <w:t>E. 3.1</w:t>
      </w:r>
    </w:p>
    <w:p>
      <w:r>
        <w:t>Der Beschwerdeführer begründet seinen Antrag um Sistierung zusammen- gefasst wie folgt: Die Beschwerdegegnerin werde durch Anwälte der Kanzlei B._____ AG vertreten. Dies sei äusserst problematisch, weil der Beschwerdefüh- rer von dieser Kanzlei in Bezug auf gewisse der vorliegend interessierenden Steuern in einem früheren Zeitpunkt vertreten worden sei. Die B._____ AG befin- de sich daher in einem Interessenskonflikt, was gegen das BGFA und die Stan- desregeln des Schweizerischen Anwaltsverbandes verstosse. Der Beschwerde-</w:t>
      </w:r>
    </w:p>
    <w:p>
      <w:r>
        <w:t>- 6 - führer habe nun eine Anzeige bei der Aufsichtskommission über die Anwältinnen und Anwälte eingereicht. Es sei deren Entscheid über die Zulässigkeit der Vertre- tung abzuwarten (act. 46 Rz 16 ff.).</w:t>
      </w:r>
    </w:p>
    <w:p>
      <w:r>
        <w:rPr>
          <w:b/>
        </w:rPr>
        <w:t>E. 3.2</w:t>
      </w:r>
    </w:p>
    <w:p>
      <w:r>
        <w:t>Das Gericht kann das Verfahren sistieren, wenn die Zweckmässigkeit dies verlangt. Das Verfahren kann namentlich sistiert werden, wenn der Entscheid vom Ausgang eines anderen Verfahrens abhängt (Art. 126 Abs. 1 ZPO).</w:t>
      </w:r>
    </w:p>
    <w:p>
      <w:r>
        <w:rPr>
          <w:b/>
        </w:rPr>
        <w:t>E. 3.3</w:t>
      </w:r>
    </w:p>
    <w:p>
      <w:r>
        <w:t>Die Frage, ob Anwälte der Kanzlei B._____ AG die Beschwerdegegnerin vertreten dürfen, würde im vorliegenden Beschwerdeverfahren erst dann relevant, wenn die Beschwerdegegnerin – und damit die umstrittenen Vertreter – tätig wer- den müsste, beispielsweise indem sie die Beschwerde beantworten müsste. Wie nachfolgend aufzuzeigen ist, kann das Verfahren jedoch direkt und ohne das Ein- holen einer Beschwerdeantwort erledigt werden (siehe E. 4, vgl. auch E. 1.5). Al- leine der Umstand, dass die Rechtsanwälte von B._____ AG als Vertreter der Be- schwerdegegnerin im Rubrum aufgenommen sind und als solche den vorliegen- den Entscheid erhalten werden, schadet dem Beschwerdeführer nicht, werden darin doch keine neuen Umstände erwähnt, welche nicht ohnehin allen Beteiligten bereits bekannt sind. Entsprechend kann die Frage der Zulässigkeit der Vertre- tung der Beschwerdegegnerin durch die Anwälte der B._____ AG offen gelassen werden. Das vorliegende Verfahren muss daher nicht sistiert werden, bis die Auf- sichtskommission über die Anwältinnen und Anwälte in dieser Sache entschieden hat, ist deren Entscheid für den vorliegenden Prozess doch nicht von Bedeutung.</w:t>
      </w:r>
    </w:p>
    <w:p>
      <w:r>
        <w:rPr>
          <w:b/>
        </w:rPr>
        <w:t>E. 3.4</w:t>
      </w:r>
    </w:p>
    <w:p>
      <w:r>
        <w:t>Wenn der Beschwerdeführer der Vorinstanz sodann vorwirft, sie habe § 39 Abs. 1 lit. a AnwG ZH verletzt, weil sie es entgegen dieser Bestimmung unterlas- sen habe, betreffend der Vertretung der Beschwerdegegnerin Anzeige bei der Aufsichtskommission über die Anwältinnen und Anwälte zu erheben (act. 47 Rz 24 f.), ist nicht ersichtlich, was der Beschwerdeführer daraus ableiten will. Die Fortführung des Verfahrens durch die Vorinstanz hat er nicht angefochten, alleine in diesem Zusammenhang war die Vertretung der Beschwerdegegnerin jedoch Thema (vgl. act. 46 E. III.2). Dasselbe gilt für den Vorwurf, die Vorinstanz habe die vom Beschwerdeführer vorgebrachten Fakten in Bezug auf B._____ AG nicht</w:t>
      </w:r>
    </w:p>
    <w:p>
      <w:r>
        <w:t>- 7 - berücksichtigt und damit das rechtliche Gehör des Beschwerdeführers verletzt (act. 47 Rz 26).</w:t>
      </w:r>
    </w:p>
    <w:p>
      <w:r>
        <w:rPr>
          <w:b/>
        </w:rPr>
        <w:t>E. 3.5</w:t>
      </w:r>
    </w:p>
    <w:p>
      <w:r>
        <w:t>Nach dem Gesagten ist der Antrag des Beschwerdeführer um Sistierung des vorliegenden Verfahrens abzuweisen. 4. Zur Beschwerde im Einzelnen 4.1. Im Rahmen der Prüfung des Zahlungsbefehls vom 8. Oktober 2018 hatte die Vorinstanz im Wesentlichen zu beurteilen, ob der Zahlungsbefehl nichtig oder aufzuheben sei, weil darin unterschiedliche Forderungsgrundlagen aufgeführt sind, die Forderungen jedoch nicht betragsmässig getrennt aufgelistet, sondern als Summe angegeben sind. Als weiterer Mangel war gerügt worden, unter Posi- tion 2 des Zahlungsbefehls werde eine Forderung ohne Angabe des Forderungs- grundes und der Forderungsurkunden aufgeführt. Die Vorinstanz verneinte die Nichtigkeit bzw. Ungültigkeit des Zahlungsbefehls mit Hinweis auf das aufgrund der jahrelang dauernden Prozesse über die in Betreibung gesetzten Forderungen bestehende umfangreiche Vorwissen des Beschwerdeführers. Dem Beschwerde- führer habe daher bekannt sein müssen, dass die Forderungsbeträge den vom kantonalen Steueramt Zürich in der Veranlagungsverfügung vom 26. Januar 2016 und der Nachsteuerverfügung vom 27. Januar 2016 festgesetzten, mit Steuer- rechnungen vom 27. Januar 2016 und vom 11. Februar 2016 eingeforderten und schliesslich vom Bundesgericht mit Entscheid vom 18. September 2018 bestätig- ten Nachsteuern betreffend die direkte Bundessteuer der Jahre 2005 bis 2009 sowie der ordentlichen direkten Bundessteuer der Jahre 2010 bis 2013 entspre- chen würden. Der Beschwerdeführer, der den bundesgerichtlichen Entscheid selbst eingereicht habe, habe also gewusst, dass es sich beim Forderungsbetrag unter Position 1 des Zahlungsbefehls um die Nachsteuern der direkten Bundes- steuer der Jahre 2005 bis 2009 und beim Forderungsbetrag unter Position 2 des Zahlungsbefehls um die ordentliche direkte Bundessteuer der Jahre 2010 bis 2013 handle. Dies gehe im Übrigen auch aus der Tatsache hervor, dass als For- derungsgrund die Prosequierung des Arrests Nr. … angegeben werde, welcher sich seinerseits wieder auf die verschiedenen Forderungsurkunden stütze. Es er- scheine angesichts dieser Umstände geradezu als treuwidrig, zu behaupten, es</w:t>
      </w:r>
    </w:p>
    <w:p>
      <w:r>
        <w:t>- 8 - sei dem Beschwerdeführer aufgrund der nicht betragsmässig getrennt aufgeführ- ten Forderungsgrundlagen nicht möglich, die Rechtmässigkeit der Ansprüche zu prüfen. Ohnehin hätte gemäss einem Entscheid des Obergerichts Zürich auch al- leine die Angabe der Prosequierung des Arrests Nr. … als Forderungsgrund ohne Angabe der Forderungsurkunden genügt. Dass die Forderung betreffend die or- dentliche direkte Bundessteuer der Jahre 2010 bis 2013 unter Position 2 aufge- führt sei, sei im Übrigen alleine auf die formalen Gegebenheiten des Zahlungsbe- fehls zurückzuführen. Für den Beschwerdeführer habe im Hinblick auf die seit Jahren geführten Verfahren in dieser Sache klar sein müssen, dass sich dieser Betrag aus den unter Position 1 aufgeführten Forderungsurkunden ergebe (act. 46 E. IV.1.6). Die Vorinstanz verneinte im Übrigen, dass der Zahlungsbefehl nichtig oder aufzuheben wäre, wenn er falsch datiert wäre (act. 46 E. IV.1.7). Fer- ner prüfte die Vorinstanz den Vorwurf des Beschwerdeführers, die Betreibung Nr. … sei missbräuchlich. Sie verneinte dies (act. 46 E. IV.2). 4.2. In seiner Beschwerde an die Kammer bestreitet der Beschwerdeführer den angefochtenen Entscheid zunächst vollumfänglich (act. 47 Rz 5). Sodann rügt er die Erwägungen der Vorinstanz zur Nichtigkeit des Zahlungsbefehls. Er macht geltend, die Vorinstanz habe falsche Erkenntnisse getroffen und daraus zu Un- recht den Schluss gezogen, der Zahlungsbefehl sei nicht mangelhaft. Es bleibe jedoch dabei, dass im Zahlungsbefehl die Forderungsurkunden vermischt worden seien und der Beschwerdeführer somit nicht wissen könne, gestützt auf was ge- nau er für welchen Betrag betrieben werde. Auch das Urteil des Bundesgerichts vom 18. September 2018 könne nicht als Bestätigung der vermeintlichen Forde- rungsurkunde angesehen werden. In diesem Zusammenhang sei zwingend zu beachten, dass das Bundesgericht im fraglichen Entscheid die Beschwerde des Beschwerdeführers nur teilweise abgewiesen habe. Das Bundesgericht habe dem Beschwerdeführer insofern Recht gegeben, als die durch die Behörden vorge- nommenen Veranlagungsentscheide dahingehend nicht korrekt seien, dass auch das Einkommen seiner Ehefrau miteingerechnet worden sei. Die zugrundeliegen- den Veranlagungsentscheide seien somit nicht korrekt und könnten nicht als For- derungsurkunde der betriebenen vermeintlichen Schuld des Beschwerdeführers betrachtet werden (act. 47 Rz 30 ff.).</w:t>
      </w:r>
    </w:p>
    <w:p>
      <w:r>
        <w:t>- 9 - 4.3. 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 bewirkt die Einstellung der Betreibung (Art. 78 Abs. 1 SchKG). Um den Rechtsvorschlag zu beseitigen, muss der Gläu- biger je nach Grundlage seiner Forderung entweder ein Anerkennungsverfahren (vgl. Art. 79 SchKG) oder ein Rechtsöffnungsverfahren einleiten (vgl. Art. 80ff. SchKG). Im Rahmen dieser Verfahren kann der Schuldner seine Einwendungen zur Forderung vorbringen. Im Verhältnis zu gerichtlichen Klagen ist die betrei- bungsrechtliche Beschwerde subsidiär (vgl. Art. 17 Abs. 1 SchKG sowie BSK SchKG I-Cometta/Möckli, 2. Aufl. 2010, Art. 17 N 10). 4.4. 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auf die Mangelhaftigkeit des Zahlungsbefehls geschlossen. Damit setzt sich der Beschwerdeführer in keiner Art und Weise mit den vorinstanzlichen Erwägungen auseinander und es bleibt mangels Erläuterung unklar, weshalb die vorinstanzli- chen Schlussfolgerungen falsch sein sollen. Dass im Zahlungsbefehl die Forde- rungsurkunden vermischt worden seien und der Beschwerdeführer somit nicht wissen könne, gestützt auf was genau er für welchen Betrag betrieben werde, ist sodann eine blosse Wiederholung seines vorinstanzlichen Standpunktes (vgl. act. 1 Rz 34). Auch das stellt keine genügende Auseinandersetzung mit den vor- instanzlichen Erwägungen dar und genügt somit den Anforderungen an eine Rü- ge nicht, weshalb darauf nicht weiter einzugehen ist.</w:t>
      </w:r>
    </w:p>
    <w:p>
      <w:r>
        <w:t>- 10 - 4.5. Genügend konkret ist einzig die Rüge betreffend den Bundesgerichtsent- scheid vom 18. September 2018. Diese Einwendung vermag aber nichts am vor- instanzlichen Ergebnis zu ändern. Zum einen werden damit Tatsachen vorge- bracht, die im erstinstanzlichen Verfahren nicht thematisiert wurden und die damit neu und unzulässig im Sinne von Art. 326 Abs. 1 ZPO sind. Selbst wenn diese Tatsachen aber berücksichtigt würden, würden sie nicht zur Nichtigkeit oder Auf- hebung des Zahlungsbefehls vom 8. Oktober 2018 führen. Richtig ist zwar, dass das Bundesgericht im fraglichen Entscheid die Be- schwerden der Ehefrau des Beschwerdeführers guthiess, soweit es darauf eintrat, und die Angelegenheit diesbezüglich zur Neubeurteilung an das kantonale Steu- eramt zurückwies. Begründet wurde dies damit, die Ehefrau hätte nicht ohne nä- here Abklärungen in die Veranlagung miteinbezogen werden dürfen (vgl. BGer 2C_799/2017 und 2C_800/2017 vom 18. September 2018, insb. E. 4.2.1.5 [act. 2/5 = act. 11/9]). Die Beschwerden des Beschwerdeführers hingegen wurden lediglich betreffend die Verfahrenskosten gutgeheissen und diesbezüglich an das Verwaltungsgericht zurückgewiesen, nicht jedoch betreffend die vom Beschwer- deführer aufgeworfenen diversen prozessualen und materiellen Fragen (vgl. BGer 2C_799/2017 und 2C_800/2017 vom 18. September 2018 [act. 2/5 = act. 11/9]). Wenn der Beschwerdeführer nun vorbringt, aufgrund der Rückweisung betreffend die Beschwerden seiner Ehefrau seien auch die ihn betreffenden Veranlagungs- entscheide nicht korrekt, so bestreitet er im Grunde die in Betreibung gesetzten Forderungen. Ob diese bestehen und ob die sie festlegenden Entscheide rechts- kräftig sind, ist aber nicht im Verfahren der Beschwerde nach Art. 17 SchKG zu prüfen, sondern vielmehr in einem allfälligen Anerkennungsprozess oder Rechts- öffnungsverfahren. Entgegen der Ansicht des Beschwerdeführers ist ein Zah- lungsbefehl folglich auch weder aufzuheben noch nichtig, wenn die Forderungs- urkunde, auf der die in Betreibung gesetzte Forderung beruht, fehlerhaft oder nicht rechtskräftig sein sollte. 4.6. Die Beschwerde ist nach dem Gesagten abzuweisen.</w:t>
      </w:r>
    </w:p>
    <w:p>
      <w:r>
        <w:t>- 11 - 5.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beschlossen:</w:t>
      </w:r>
    </w:p>
    <w:p>
      <w:r>
        <w:rPr>
          <w:b/>
        </w:rPr>
        <w:t>E. 8</w:t>
      </w:r>
    </w:p>
    <w:p>
      <w:r>
        <w:t>Oktober 2013). Enthält die Beschwerde gar keine genügende Begründung, ist darauf nicht einzutreten (Hungerbühler/Bucher, DIKE-Komm-ZPO, 2. Aufl. 2016, Art. 321 N 17 i.V.m. Art. 311 N 46); weniger schwere Mängel wirken sich demge- genüber regelmässig auf die Entscheidfindung aus. Neue Anträge, neue Tatsa- chen und neue Beweismittel sind im Beschwerdeverfahren im Übrigen ausge- schlossen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