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PS190178 vom 23. Oktober 2019</w:t>
      </w:r>
    </w:p>
    <w:p>
      <w:r>
        <w:t>ZH Obergericht, 2019-10-23, DE</w:t>
      </w:r>
    </w:p>
    <w:p>
      <w:r>
        <w:rPr>
          <w:b/>
        </w:rPr>
        <w:t xml:space="preserve">Quelle: </w:t>
      </w:r>
      <w:r>
        <w:t>https://mcp.opencaselaw.ch/entscheid/zh_obergericht_PS190178</w:t>
      </w:r>
    </w:p>
    <w:p>
      <w:r>
        <w:t>FR: ZH_OBERGERICHT PS190178 du 23 octobre 2019</w:t>
      </w:r>
    </w:p>
    <w:p>
      <w:r>
        <w:t>IT: ZH_OBERGERICHT PS190178 del 23 ottobre 2019</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 3.1. Die Vorinstanz erwog, die Beschwerdeführerin habe weder in ihrer Eingabe vom 9. September 2019 noch in jener vom 12. September 2019 konkrete Rechts- begehren gestellt. Zwar könne die Formulierung der Beschwerdeführerin, sie wol- le die Pfändung anfechten, allenfalls als Antrag um Aufhebung der Pfändung Nr. … verstanden werden. Doch auch dies könne nichts daran ändern, dass die Beschwerdeführerin mit keinem einzigen Wort darlege, an welchen konkreten Mängeln die angefochtene Pfändung bzw. Pfändungsurkunde leide (act. 13 E. 3.2.). Die Beschwerdeführerin mache einzig geltend, sie sei zur Einreichung der Beschwerde gesundheitlich nicht in der Lage. Die Beschwerdefrist könne indes nicht erstreckt werden und selbst wenn eine Erstreckung der Beschwerdefrist möglich wäre, könnte eine solche vorliegend nicht gewährt werden. Im eingereich- ten Arztzeugnis von Dr. med. B._____ vom 6. September 2019 stehe zwar, die Beschwerdeführerin sei weder verhandlungs- noch prozessfähig. Nähere Anga-</w:t>
      </w:r>
    </w:p>
    <w:p>
      <w:r>
        <w:t>- 4 - ben dazu, ob bzw. wann die Beschwerdeführerin untersucht worden sei sowie seit wann und wie lange der Zustand dauere, seien dem Arztzeugnis nicht zu ent- nehmen. Zudem zeigten die Eingaben der Beschwerdeführerin vom 9. und 12. September 2019, dass die Beschwerdeführerin in der Lage gewesen sei, eine "Besucherin" mit der Abfassung der Eingabe zu beauftragen und diese selber zu unterzeichnen, was im Widerspruch zum Arztzeugnis stehe (act. 13 E. 3.3.2.). Der Gegenstand, über welchen sich die Beschwerdeführerin beschwere, sei zudem alles andere als komplex: Gestützt auf das Fortsetzungsbegehren des Be- schwerdegegners in der Betreibung Nr. … habe das Betreibungsamt einen Barbe- trag von Fr. 2'500.– gepfändet, den es nach Rechtskraft der Pfändungsurkunde für die Deckung der Forderung des Beschwerdegegners sowie die Betreibungs- kosten zu verwenden beabsichtige. Der Beschwerdeführerin sei es daher zuzu- muten gewesen, einen Antrag zu stellen und zu begründen oder eine Drittperson zu beauftragen und zu instruieren. Mit den Unterlagen zu pendenten Prozessen am Bundesgericht, welche die Beschwerdeführerin eingereicht habe, beweise sie selber, dass sie dazu in der Lage sei (act. 13 E. 3.3.3). 3.2. Die Beschwerdeführerin wendet dagegen zusammengefasst ein, sie sei ge- sundheitlich in schlechtem Zustand und sei nicht in der Lage, ihre persönlich be- gründete Beschwerde einzureichen. Ein "Besucher" habe die Beschwerde ver- fasst und sie habe sie unterzeichnet. Sie macht Ausführungen dazu, dass ihr Mann qualvoll als Konkursschuldner verstorben sei, was die Schweizer Justiz zu verantworten habe. Sie habe aber weder sein Erbe noch seine Schulden ange- nommen. Sie dürfe und könne nie für seine Schulden haften. Die Akten der "STA des Kt. Schaffhausen, des Kantonsgerichts und des OBG des Kt. Schaffhausen" seien beizuziehen. Die Fakten sollen zu Wort kommen (act. 12). 3.3. In diesen Ausführungen der Beschwerdeführerin ist keine Auseinanderset- zung mit dem vorinstanzlichen Entscheid zu erkennen. Sie legt nicht einmal in ru- dimentärer Weise dar, inwiefern die Vorinstanz ihrer Auffassung nach das Recht unrichtig angewendet oder den Sachverhalt unzutreffend festgestellt haben soll. Insbesondere zeigt sie nicht auf, inwiefern die Vorinstanz zu Unrecht von einer ungenügenden Begründung der Beschwerde ausging bzw. ihr zu Unrecht keine</w:t>
      </w:r>
    </w:p>
    <w:p>
      <w:r>
        <w:t>- 5 - Erstreckung der Beschwerdefrist gewährte. Ihre Ausführungen zeigen vielmehr, dass sie – wie die Vorinstanz annahm – durchaus in der Lage ist, jemanden mit der Ausfertigung einer Eingabe und der Übermittlung ihres Standpunktes zu be- auftragen. Die Beschwerdebegründung genügt nach dem Gesagten den gesetzli- chen Anforderungen nicht. Auf die Beschwerde ist folglich nicht einzutreten.</w:t>
      </w:r>
    </w:p>
    <w:p>
      <w:r>
        <w:rPr>
          <w:b/>
        </w:rPr>
        <w:t>E. 4</w:t>
      </w:r>
    </w:p>
    <w:p>
      <w:r>
        <w:t>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