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PS190146 vom 20. September 2019</w:t>
      </w:r>
    </w:p>
    <w:p>
      <w:r>
        <w:t>ZH Obergericht, 2019-09-20, DE</w:t>
      </w:r>
    </w:p>
    <w:p>
      <w:r>
        <w:rPr>
          <w:b/>
        </w:rPr>
        <w:t xml:space="preserve">Quelle: </w:t>
      </w:r>
      <w:r>
        <w:t>https://mcp.opencaselaw.ch/entscheid/zh_obergericht_PS190146</w:t>
      </w:r>
    </w:p>
    <w:p>
      <w:r>
        <w:t>FR: ZH_OBERGERICHT PS190146 du 20 septembre 2019</w:t>
      </w:r>
    </w:p>
    <w:p>
      <w:r>
        <w:t>IT: ZH_OBERGERICHT PS190146 del 20 settembre 2019</w:t>
      </w:r>
    </w:p>
    <w:p>
      <w:pPr>
        <w:pStyle w:val="Heading2"/>
      </w:pPr>
      <w:r>
        <w:t>Erwägungen</w:t>
      </w:r>
    </w:p>
    <w:p>
      <w:r>
        <w:rPr>
          <w:b/>
        </w:rPr>
        <w:t>E. 22</w:t>
      </w:r>
    </w:p>
    <w:p>
      <w:r>
        <w:t>August 2019 zugestellt (act. 7/17). 2.1. Dagegen erhob der Schuldner mit Eingabe vom 23. August 2019 (Datum Poststempel: 26. August 2019) rechtzeitig Beschwerde an die Kammer und bean- tragte sinngemäss die Aufhebung des vorinstanzlichen Entscheids (act. 2). Er be- gründet seine Beschwerde in Wiederholung seines bereits vor Vorinstanz vertre- tenen Standpunkts (vgl. act. 7/8 u. 7/15) damit, dass der Handelsregistereintrag infolge Nichtantritts der Tätigkeit wieder gelöscht worden sei, es also nie zu einer Aufnahme der Tätigkeit gekommen sei. Wenn die Eintragung Basis für die "Kon- kursanträge" bilde, so sei die Löschung wegen der Nichtaufnahme der Tätigkeit als von Beginn an bestehend zu werten. Die Löschung sei durch Rückzug des Eintragungsbegehrens vor Eintragung zu Stande gekommen. Ohnehin sei eine Betreibung auf Konkurs gemäss Art. 40 SchKG nur bis zum 16. Juli 2019 möglich gewesen (act. 2). 2.2. Mit Verfügung vom 27. August 2019 wurde dem Schuldner Frist zur Leistung eines Kostenvorschusses angesetzt. Im Weiteren wurde er auf die gesetzlichen Voraussetzungen gemäss Art. 174 Abs. 2 SchKG hingewiesen, welche zur Gut- heissung seiner Beschwerde erfüllt sein sollten, sowie auf den Umstand, dass er seine Beschwerdeschrift bis zum Ablauf der Rechtsmittelfrist in diesem Sinne er- gänzen könne. Der Vorschuss ging innert Frist ein (act. 9/1 i.V.m. act. 11). Am 2. September 2019 – und damit noch innerhalb der Beschwerdefrist – ging eine</w:t>
      </w:r>
    </w:p>
    <w:p>
      <w:r>
        <w:t>- 3 - weitere Eingabe des Schuldners ein, in welcher er erneut darauf hinweist, dass er den Handelsregistereintrag vor dessen Eintragung wieder habe löschen lassen. Er sei daher eine Privatperson ohne Handelsregistereintrag. Ein Konkursverfah- ren sei nicht zu eröffnen. Zudem sei eine Betreibung auf Konkurs nur bis am 16. Juli 2019 möglich gewesen (act. 10). 2.3. Die vorinstanzlichen Akten wurden beigezogen (act. 7/1–18). Da diese kein Protokoll enthielten, wurde der Vorinstanz mit Verfügung vom 11. September 2019 Frist zur Einreichung des Protokolls angesetzt (act. 13). Das Protokoll der Vorinstanz ging am 17. September 2019 ein (vgl. auch act. 15). Das Verfahren erweist sich als spruchreif. 3.1. Der Schuldner wiederholt in seiner Beschwerde wortwörtlich seinen vo- rinstanzlichen Standpunkt. Dieser wurde bereits durch die Vorinstanz umfassend behandelt (act. 6). Da die geltend gemachte Wahl der falschen Betreibungsart aber die Nichtigkeit zur Folge hätte (gl. SK SchKG-KRÜSI, 4. Aufl. 2017, Art. 38 N 23), was von Amtes wegen zu beachten ist, ist nochmals kurz auf das Argu- ment des Schuldners einzugehen, er sei zu Unrecht auf Konkurs betrieben wor- den. 3.2. Die anzuwendende Betreibungsart wird durch den Betreibungsbeamten von Amtes wegen bestimmt und durch Erlass der Pfändungsankündigung (Art. 90 SchKG) bzw. der Konkursandrohung (Art. 159 SchKG) manifestiert. Bei der Be- stimmung der Betreibungsart wendet der Betreibungsbeamte die Bestimmungen von Art. 39–43 SchKG an (vgl. Art. 38 Abs. 2 u. 3 SchKG; BSK SchKG I-ACO- CELLA, 2. Aufl. 2011, Art. 38 N 44 f.). Wie bereits die Vorinstanz zutreffend ausgeführt hat (vgl. act. 6 E. 3), unter- liegt der Schuldner dann der Konkursbetreibung, wenn er als Inhaber einer Ein- zelfirma im Handelsregister eingetragen ist (Art. 39 Abs. 1 Ziff. 1 SchKG), bzw. noch sechs Monate nach Bekanntmachung einer allfälligen Streichung durch das schweizerische Handelsamtsblatt (Art. 40 Abs. 1 SchKG). Art. 40 Abs. 2 SchKG hält sodann explizit fest, dass die Betreibung dann auf den Weg des Konkurses fortgesetzt wird, wenn der Gläubiger das Fortsetzungsbegehrens noch vor Ablauf dieser Frist stellt. Massgeblicher Zeitpunkt für die Bestimmung der Betreibungsart</w:t>
      </w:r>
    </w:p>
    <w:p>
      <w:r>
        <w:t>- 4 - ist also derjenige der Stellung des Fortsetzungsbegehrens (vgl. auch BSK SchKG I-ACOCELLA, 2. Aufl. 2011, Art. 40 N 14). 3.3. In diesem Sinn hielt die Vorinstanz zutreffend fest, dass gegen den Schuld- ner die Betreibung zu Recht auf Konkurs fortgesetzt worden war. Die Einzelunter- nehmung des Schuldners wurde am tt.mm.2018 im Handelsregister eingetragen, der Eintrag wurde am tt.mm.2018 im Schweizerischen Handelsblatt publiziert (act. 5). Am 8. Oktober 2018 war dem Schuldner der Zahlungsbefehl in der Be- treibung Nr. … zugestellt worden (act. 7/2–3). Das Fortsetzungsbegehren konnte frühestens 20 Tage nach Zustellung des Zahlungsbefehls gestellt werden (vgl. Art. 88 Abs. 1 SchKG). Die Konkursandrohung datiert vom 3. Januar 2019 und wurde am 9. Januar 2019 zugstellt (act. 7/3). Die Einzelunternehmung wurde je- doch erst am tt.mm.2019 gelöscht und die Löschung am tt.mm.2019 publiziert (act. 5). Danach begann die sechsmonatige Frist nach Art. 40 Abs. 2 SchKG zu laufen. Damit war das Fortsetzungsbegehren in der Zeit gestellt worden, als die Einzelunternehmung des Schuldners im Handelsregister eingetragen war. Diesen tatsächlichen Umständen, welche das Betreibungsamt bei der Wahl der Verfah- rensart zu beachten hatte, vermag der Beschwerdeführer in seiner Beschwerde nichts entgegenzusetzen. Die Betreibung war damit vom Betreibungsamt auf- grund des für ihn ersichtlichen Eintrags auf Konkurs fortzusetzen. Entgegen dem Schuldner wählte der zuständige Betreibungsbeamte folglich korrekt das Verfah- ren des Konkurses zur Fortsetzung der Betreibung. Einen der gesetzlich vorgesehenen Konkurshinderungsgründe macht der Schuldner sodann nicht geltend (act. 2 u. 10). Der Konkurs ist auch aus diesem Grund nicht aufzuheben. Die Beschwerde ist abzuweisen. 3. Ausgangsgemäss sind die Kosten des Beschwerdeverfahrens von Fr. 750.– dem Schuldner aufzuerlegen (Art. 106 Abs. 1 ZPO). Eine Parteientschädigung für das Beschwerdeverfahren ist nicht zuzusprechen; dem Schuldner nicht aufgrund seines Unterliegens, der Gläubigerin nicht mangels Umtrieben in diesem Verfah- ren.</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