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PS190129 vom 23. August 2019</w:t>
      </w:r>
    </w:p>
    <w:p>
      <w:r>
        <w:t>ZH Obergericht, 2019-08-23, DE</w:t>
      </w:r>
    </w:p>
    <w:p>
      <w:r>
        <w:rPr>
          <w:b/>
        </w:rPr>
        <w:t xml:space="preserve">Quelle: </w:t>
      </w:r>
      <w:r>
        <w:t>https://mcp.opencaselaw.ch/entscheid/zh_obergericht_PS190129</w:t>
      </w:r>
    </w:p>
    <w:p>
      <w:r>
        <w:t>FR: ZH_OBERGERICHT PS190129 du 23 août 2019</w:t>
      </w:r>
    </w:p>
    <w:p>
      <w:r>
        <w:t>IT: ZH_OBERGERICHT PS190129 del 23 agosto 2019</w:t>
      </w:r>
    </w:p>
    <w:p>
      <w:pPr>
        <w:pStyle w:val="Heading2"/>
      </w:pPr>
      <w:r>
        <w:t>Erwägungen</w:t>
      </w:r>
    </w:p>
    <w:p>
      <w:r>
        <w:rPr>
          <w:b/>
        </w:rPr>
        <w:t>E. 1.1</w:t>
      </w:r>
    </w:p>
    <w:p>
      <w:r>
        <w:t>A._____ (nachfolgend Beschwerdegegnerin) reichte beim Betreibungsamt Zürich 4 (nachfolgend Beschwerdeführer) am 1. April 2019 als Gläubigerin elekt- ronisch ein Betreibungsbegehren gegen die B._____ AG in der Höhe von Fr. 480.– zuzüglich 5 % Zins seit 14. Januar 2019 ein (Referenz BEM0001- 1gi6sy; act. 2/6 und act. 8a). Für die elektronische Übermittlung des Betreibungs- begehrens an den Beschwerdeführer benützte sie im eSchKG-Verbund die Se- dex-ID (secure data exchange Identität = elektronische Signatur) der C._____ AG, die als Cloud-Anbieterin ihre Sedex-ID Dritten genau für solche Dienstleis- tungen zur Verfügung stellt (vgl. act. 1 sowie act. 2/6 und act. 8a). Der Beschwer- deführer wandte sich in der Folge mit Schreiben vom 3. April 2019 direkt an die Beschwerdegegnerin und teilte ihr mit, ihr Betreibungsbegehren werde abgewie- sen, weil das Begehren weder die Anforderungen an ein Begehren in Papierform, noch diejenigen an ein elektronisches Begehren erfülle. Die elektronische Signa- tur (Sedex-ID) des eingereichten Begehrens laute nicht auf sie selbst als Gläubi- gerin (act. 2/1.1). Der Beschwerdeführer verlangte hierfür mit separater Kosten- rechnung und Verfügung Nr. … Fr. 26.30 von der Beschwerdegegnerin (act. 2/1.2).</w:t>
      </w:r>
    </w:p>
    <w:p>
      <w:r>
        <w:rPr>
          <w:b/>
        </w:rPr>
        <w:t>E. 1.2</w:t>
      </w:r>
    </w:p>
    <w:p>
      <w:r>
        <w:t>Am 9. April 2019 erhob die Beschwerdegegnerin beim Bezirksgericht Zürich als untere kantonale Aufsichtsbehörde in Schuldbetreibungs- und Konkurssachen (nachfolgend Vorinstanz) Beschwerde gegen den Beschwerdeführer. Ihre Be- schwerde richtete sich sowohl gegen die Rückweisung des Betreibungsbegeh- rens als auch gegen die Kostenrechnung (act. 1; Beilagen act. 2/1-6). Dem Be- schwerdeführer wurde Frist zur Vernehmlassung und Einreichung der Akten an- gesetzt. Zudem wurde der Beschwerde in Bezug auf die mitangefochtene Kosten- rechnung die aufschiebende Wirkung gewährt (act. 3). Die Vernehmlassung des Beschwerdeführers und die Akten gingen innert Frist ein (act. 4/1 und act. 5). Die Vernehmlassung wurde der Beschwerdegegnerin sodann zur Kenntnis gebracht und ihr wurde Frist zur Einreichung einer allfälligen Stellungnahme angesetzt</w:t>
      </w:r>
    </w:p>
    <w:p>
      <w:r>
        <w:t>- 3 - (act. 6). Diese Gelegenheit nahm die Beschwerdegegnerin mit innert Frist (act. 7/1) eingereichter Eingabe vom 30. April 2019 wahr (act. 8). Am 12. Juni 2019 wandte sich die Beschwerdegegnerin erneut an die Vor- instanz, teilte mit, sie sei für die Kostenrechnung gemahnt worden und ersuchte darum, den Beschwerdeführer erneut auf die erteilte aufschiebende Wirkung hin- zuweisen (act. 9 f.). Mit Verfügung vom 13. Juni 2019 wurde die Noveneingabe der Beschwerdegegnerin dem Beschwerdeführer zugestellt und es wurde ihm Frist angesetzt, sich obligatorisch dazu zu äussern. Im Weiteren wurde der Be- schwerde in Bezug auf die mitangefochtene Mahnung die aufschiebende Wirkung erteilt (act. 11). Der Beschwerdeführer teilte der Vorinstanz am 17. Juni 2019 mit, er habe die Mahnung aufgehoben und erachte die Beschwerde diesbezüglich als gegenstandslos (act. 13). Gleichzeitig wandte er sich auch direkt schriftlich an die Beschwerdegegnerin und teilte ihr mit, er habe die Mahnung umgehend storniert (act. 14). Mit Zirkulationsbeschluss vom 30. Juli 2019 hiess die Vorinstanz die Be- schwerde gut. Sie hob die Verfügung des Beschwerdeführers vom 3. April 2019 (Rückweisung des Betreibungsbegehrens Tagebuch Nr. …; Kostenrechnung und Verfügung Nr. …; Kostenrechnung und Verfügung Nr. …) auf und wies den Be- schwerdeführer an, das elektronische Betreibungsbegehren der Beschwerdegeg- nerin vom 1. April 2019 (Ref. Nr. BEM00001-1gi6sy) im Sinne der Erwägungen des vorinstanzlichen Entscheides zu behandeln. Die Beschwerde gegen die Mah- nung vom 5. Juni 2019 wurde als gegenstandslos abgeschrieben (act. 15 = act. 18 [Aktenexemplar] = act. 20, nachfolgend zitiert als act. 18).</w:t>
      </w:r>
    </w:p>
    <w:p>
      <w:r>
        <w:rPr>
          <w:b/>
        </w:rPr>
        <w:t>E. 1.3</w:t>
      </w:r>
    </w:p>
    <w:p>
      <w:r>
        <w:t>Dieser Entscheid wurde dem Beschwerdeführer am 2. August 2019 zuge- stellt (act. 16/1). Am 8. August 2019 (Datum Poststempel) reichte der Beschwer- deführer Beschwerde gegen den vorinstanzlichen Entscheid ein (act. 19).</w:t>
      </w:r>
    </w:p>
    <w:p>
      <w:r>
        <w:rPr>
          <w:b/>
        </w:rPr>
        <w:t>E. 1.4</w:t>
      </w:r>
    </w:p>
    <w:p>
      <w:r>
        <w:t>Die Akten des vorinstanzlichen Verfahrens wurden beigezogen (act. 1 – act. 18). Von der Einholung einer Vernehmlassung und Stellungnahme zur Sache wurde abgesehen (Art. 20a Abs. 3 SchKG i.V.m. § 18 EG SchKG i.V.m. § 84 GOG i.V.m Art. 322 sowie Art. 324 ZPO). Das Verfahren ist spruchreif.</w:t>
      </w:r>
    </w:p>
    <w:p>
      <w:r>
        <w:t>- 4 -</w:t>
      </w:r>
    </w:p>
    <w:p>
      <w:r>
        <w:rPr>
          <w:b/>
        </w:rPr>
        <w:t>E. 2</w:t>
      </w:r>
    </w:p>
    <w:p>
      <w:r>
        <w:t>Auflage, Art. 20a N 38). Im Kanton Zürich richtet sich das Beschwerdeverfah- ren gemäss § 18 EG SchKG nach § 83 f. GOG. Dabei ist der Sachverhalt von Amtes wegen zu untersuchen und es sind die Bestimmungen der ZPO sinnge- mäss anwendbar (§ 83 Abs. 3 GOG). Für den Weiterzug an das Obergericht gel- ten insbesondere die Bestimmungen über die Beschwerde gemäss Art. 319 ff. ZPO (§ 84 GOG).</w:t>
      </w:r>
    </w:p>
    <w:p>
      <w:r>
        <w:rPr>
          <w:b/>
        </w:rPr>
        <w:t>E. 2.1</w:t>
      </w:r>
    </w:p>
    <w:p>
      <w:r>
        <w:t>Das Verfahren der Aufsichtsbeschwerde in Schuldbetreibungs- und Kon- kurssachen richtet sich nach den Bestimmungen von Art. 20a Abs. 2 SchKG. So- weit Art. 20a Abs. 2 SchKG jedoch keine Bestimmungen enthält, regeln die Kan- tone das Verfahren (Art. 20a Abs. 3 SchKG; BSK SchKG I-COMETTA/MÖCKLI,</w:t>
      </w:r>
    </w:p>
    <w:p>
      <w:r>
        <w:rPr>
          <w:b/>
        </w:rPr>
        <w:t>E. 2.2</w:t>
      </w:r>
    </w:p>
    <w:p>
      <w:r>
        <w:t>Zur Beschwerde nach Art. 18 SchKG an die obere kantonale Aufsichtsbe- hörde sind Personen berechtigt, die durch den vorinstanzlichen Entscheid in ihren rechtlichen oder tatsächlichen Interessen betroffen sind, mithin ein Rechtsschutz- interesse aufweisen. Nicht zur Beschwerde befugt sind hingegen Vollstreckungs- organe, die eine andere Rechtsauffassung als die untere Aufsichtsbehörde vertre- ten und den Entscheid deshalb von der oberen kantonalen Aufsichtsbehörde überprüfen lassen wollen. Das Amt ist nicht berechtigt, seinen Standpunkt auf dem Rechtsmittelweg durchzusetzen (MAIER/VAGNATO, Art. 18 N 2 f., in: KOSTKIE- WICZ/VOCK (Hrsg.), Kommentar zum Bundesgesetz über Schuldbetreibung und Konkurs, 4. Auflage, 2017; BSK SchKG I-COMETTA/MÖCKLI, a.a.O., Art. 18 N 11 f.). Nach der bundesgerichtlichen Rechtsprechung ist ein Betreibungsamt nur dann beschwerdeberechtigt, wenn es um die Anwendung des Gebührentarifs geht oder wenn der angefochtene Entscheid in die materiellen oder persönlichen Interessen des Betreibungsbeamten oder in fiskalische Interessen des betreffen- den Kantons eingreift (BGE 140 III 644 E. 3.1; Urteil des Bundesgerichts 5A_159/2017 vom 21. November 2017, E. 1.3, m.w.H.).</w:t>
      </w:r>
    </w:p>
    <w:p>
      <w:r>
        <w:t>- 5 - Im hier zu beurteilenden Fall wehrt sich der Beschwerdeführer gegen die Auffassung der Vorinstanz, die erwog, die elektronische Einreichung des Betrei- bungsbegehrens durch eine Nichtteilnehmerin des eSchKG-Verbundes über eine beim Bundesamt für Justiz registrierte Teilnehmerin des eSchKG-Verbundes sei rechtlich zulässig (act. 18 E. 4.2). Demzufolge wurden wie gesehen die Verfügun- gen des Beschwerdeführers aufgehoben und der Beschwerdeführer angewiesen, das Betreibungsbegehren der Beschwerdegegnerin im Sinne der vorinstanzlichen Erwägungen zu behandeln (act. 18 S. 10 f.). Der Beschwerdeführer besteht in seiner Beschwerde hingegen darauf, solche Betreibungsbegehren seien von ihm zurückzuweisen (act. 19 S. 3). Aus der Begründung des vorinstanzlichen Entscheides und den Vorbringen in der Beschwerde ergibt sich klar, dass der Beschwerdeführer weder fiskalische Interessen seines Kantons vertreten will, noch eine gebührenrechtliche Problema- tik Streitgegenstand ist. Es ist ebenso wenig ersichtlich, dass der Entscheid in materielle oder persönliche Interessen des Betreibungsbeamten eingreifen würde. Dem Beschwerdeführer geht es vielmehr darum, seine bisherige Praxis im Zu- sammenhang mit über den eSchKG-Verbund eingereichten Betreibungsbegehren von Nichtteilnehmern durchzusetzen. Die von der Vorinstanz divergierende Rechtsauffassung des Beschwerdeführers führt allerdings nicht dazu, dass er zur Beschwerde berechtigt wäre. Da er nicht zur Beschwerde legitimiert ist, kann auf die Beschwerde nicht eingetreten werden.</w:t>
      </w:r>
    </w:p>
    <w:p>
      <w:r>
        <w:rPr>
          <w:b/>
        </w:rPr>
        <w:t>E. 2.3</w:t>
      </w:r>
    </w:p>
    <w:p>
      <w:r>
        <w:t>Hinzu kommt, dass der vom Beschwerdeführer gestellte Antrag im vorlie- genden Beschwerdeverfahren nicht durchsetzbar wäre. Ein Antrag hat so formu- liert zu sein, dass er bei dessen Gutheissung zum Urteil erhoben werden kann. Dies ist beim Begehren des Beschwerdeführers, der eine Bestätigung seiner bis- herige Praxis fordert, Betreibungsbegehren zurückzuweisen, die weder von einem Gläubiger noch von einem Gläubiger-Vertreter unterzeichnet sind (act. 19 S. 3), nicht der Fall. Weder die Vorinstanz noch die Kammer können die Praxis des Be- schwerdeführers im Dispositiv bestätigen.</w:t>
      </w:r>
    </w:p>
    <w:p>
      <w:r>
        <w:t>- 6 - Nicht zuletzt setzt sich der Beschwerdeführer in seiner Beschwerdeschrift auch nicht mit dem vorinstanzlichen Entscheid auseinander. Eine Beschwerde müsste gemäss Art. 321 Abs. 1 und Abs. 2 ZPO, neben (durchsetzbaren) Rechtsmittelanträgen auch eine Begründung aufweisen, aus der mit Blick auf die vorinstanzlichen Erwägungen im Einzelnen hervorgeht, weshalb der angefochte- ne Entscheid falsch ist. Diesen Anforderungen vermöchte die Beschwerde eben- falls nicht zu genügen. Auch aus diesem Grund wäre nicht auf die Beschwerde einzutreten.</w:t>
      </w:r>
    </w:p>
    <w:p>
      <w:r>
        <w:rPr>
          <w:b/>
        </w:rPr>
        <w:t>E. 3</w:t>
      </w:r>
    </w:p>
    <w:p>
      <w:r>
        <w:t>Für das Beschwerdeverfahren sind keine Kosten zu erheben und keine Par- teientschädigungen zuzusprechen (Art. 20a Abs. 2 Ziff. 5 SchKG; Art. 61 Abs. 2 GebV SchKG;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