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PS190127 vom 23. August 2019</w:t>
      </w:r>
    </w:p>
    <w:p>
      <w:r>
        <w:t>ZH Obergericht, 2019-08-23, DE</w:t>
      </w:r>
    </w:p>
    <w:p>
      <w:r>
        <w:rPr>
          <w:b/>
        </w:rPr>
        <w:t xml:space="preserve">Quelle: </w:t>
      </w:r>
      <w:r>
        <w:t>https://mcp.opencaselaw.ch/entscheid/zh_obergericht_PS190127</w:t>
      </w:r>
    </w:p>
    <w:p>
      <w:r>
        <w:t>FR: ZH_OBERGERICHT PS190127 du 23 août 2019</w:t>
      </w:r>
    </w:p>
    <w:p>
      <w:r>
        <w:t>IT: ZH_OBERGERICHT PS190127 del 23 agosto 2019</w:t>
      </w:r>
    </w:p>
    <w:p>
      <w:pPr>
        <w:pStyle w:val="Heading2"/>
      </w:pPr>
      <w:r>
        <w:t>Erwägungen</w:t>
      </w:r>
    </w:p>
    <w:p>
      <w:r>
        <w:rPr>
          <w:b/>
        </w:rPr>
        <w:t>E. 10</w:t>
      </w:r>
    </w:p>
    <w:p>
      <w:r>
        <w:t>Tagen nicht zurückgezogen hatte, legte das Betreibungsamt Hinwil den Rechtsvorschlag gemäss Art. 265a Abs. 1 SchKG dem Bezirksgericht Hinwil (fortan Vorinstanz) vor (act. 1). 1.2. Die Vorinstanz lud die Parteien auf den 2. Juli 2019 zur Verhandlung vor (vgl. act. 6). Zur Verhandlung erschien der Beschwerdeführer in Begleitung seines Buchhalters, während seitens des Beschwerdegegners niemand anwesend war (Prot. Vi S. 3). Im Anschluss an die Verhandlung entschied die Vorinstanz wie folgt (act.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