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PS190122 vom 8. August 2019</w:t>
      </w:r>
    </w:p>
    <w:p>
      <w:r>
        <w:t>ZH Obergericht, 2019-08-08, DE</w:t>
      </w:r>
    </w:p>
    <w:p>
      <w:r>
        <w:rPr>
          <w:b/>
        </w:rPr>
        <w:t xml:space="preserve">Quelle: </w:t>
      </w:r>
      <w:r>
        <w:t>https://mcp.opencaselaw.ch/entscheid/zh_obergericht_PS190122</w:t>
      </w:r>
    </w:p>
    <w:p>
      <w:r>
        <w:t>FR: ZH_OBERGERICHT PS190122 du 8 août 2019</w:t>
      </w:r>
    </w:p>
    <w:p>
      <w:r>
        <w:t>IT: ZH_OBERGERICHT PS190122 del 8 agosto 2019</w:t>
      </w:r>
    </w:p>
    <w:p>
      <w:pPr>
        <w:pStyle w:val="Heading2"/>
      </w:pPr>
      <w:r>
        <w:t>Erwägungen</w:t>
      </w:r>
    </w:p>
    <w:p>
      <w:r>
        <w:rPr>
          <w:b/>
        </w:rPr>
        <w:t>E. 18</w:t>
      </w:r>
    </w:p>
    <w:p>
      <w:r>
        <w:t>Juli 2019 wies die Vorinstanz die Beschwerde ab, soweit sie drauf eintrat (act. 3). 1.3. Dagegen erhob der Beschwerdeführer mit Eingabe vom 3. August 2019 (Da- tum Poststempel) rechtzeitig Beschwerde beim Obergericht des Kantons Zürich als obere kantonale Aufsichtsbehörde über Schuldbetreibungs- und Konkurssa- chen (act. 7; vgl. zur Rechtzeitigkeit act. 4/2). Seine Anträge lauten wie folgt (act. 7 S. 2): "1. Es sei die Nichtigkeit des angefochtenen Urteils des Verwal- tungsgerichts des Kantons Zürich v. 29. Mai 2019 festzustellen und auf die Beschwerde ist einzutreten und die Sache zur neuen Entscheidung an die Vorinstanz zurückzuweisen. 2. Die Ausführungen der Beschwerdegegner werden vollumfänglich bestritten und für unerheblich erklärt. 3. Auf die Beschwerde ist einzutreten. 4. Wiederaufnahme des oben genannten Verfahrens weil krasse Form- und Verfahrensfehler vorliegen. 8. Die aufschiebende Wirkung ist zu befehlen.</w:t>
      </w:r>
    </w:p>
    <w:p>
      <w:r>
        <w:t>- 3 - 9. Das betreibungsrechtliche Existenzminimum ist mind. auf die Ar- mutsgrenze von Fr. 2'260.– anzuheben bzw. auf den Grundbetrag Fr. 1'200.– plus Fr. 872.– Mietzins = Fr. 2'072.–. […] Unter Kosten- und Entschädigungsfolge zu Lasten der Beschwerde- gegner." 1.4. Die vorinstanzlichen Akten wurden beigezogen (act. 1 - 4). Von der Einho- lung einer Beschwerdeantwort bzw. einer Vernehmlassung kann abgesehen wer- den (Art. 20a Abs. 3 SchKG i.V.m. Art. 322 Abs. 1 sowie Art. 324 ZPO bzw. § 83 Abs. 2 GOG). Das Verfahren ist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 3.1. Der Beschwerdeführer macht – neben allgemeiner Kritik am Schweizeri- schen Rechtssystem, auf welche nicht weiter einzugehen ist – im Wesentlichen geltend, bei der Einkommenspfändung sei das Existenzminimum falsch berechnet worden, weil der Mietzins von Fr. 872.– nicht berücksichtigt worden sei. Es sei ak- tenkundig, dass er seit 20 Jahren die gleiche Wohnung bewohne. Er habe dies</w:t>
      </w:r>
    </w:p>
    <w:p>
      <w:r>
        <w:t>- 4 - der Vorinstanz und dem Betreibungsamt kommuniziert und die Mietwohnung sei aktenkundig. Die Vorinstanz hätte die Liegenschaftsverwaltung B._____ kontak- tieren oder ihn um Belege anfragen können. Alle Zahlungsnachweise seien lü- ckenlos vorhanden und hätten bei ihm eingeholt werden können (act. 7). 3.2. Vor Vorinstanz stellte sich der Beschwerdeführer auf den Standpunkt, sein betreibungsrechtliches Existenzminimum müsse mindestens auf die schweizeri- sche Armutsgrenze (Fr. 2'260.–) angehoben werden. Es könne nicht sein, dass das betreibungsrechtliche Existenzminimum unter der schweizerischen Armuts- grenze liege, dies verletze Art. 8 Abs. 2 und Art. 14 EMRK (vgl. act. 1). Seine Ausführungen wonach er dem Betreibungsamt seine Mietkosten von Fr. 872.– kommuniziert habe, sind im Beschwerdeverfahren neu und damit unzulässig (vgl. hiervor E. 2), vermöchten am angefochtenen Entscheid aber ohnehin nichts zu ändern: 3.3. Die Vorinstanz wies bereits zutreffend darauf hin, dass Zuschläge zum Grundbetrag des Existenzminimums nach dem sogenannten Effektivitätsgrund- satz im Allgemeinen nur insoweit berücksichtigt werden dürften, als eine Zah- lungspflicht bestehe und entsprechende Zahlungen bisher auch tatsächlich geleis- tet worden seien (BGE 112 III 19, E. 4, 121 III 20 E. 3a; vgl. auch BSK SchKG I- Vonder Mühll, 2. Aufl., Art. 93 N 25). Obwohl das Betreibungsamt die tatsächli- chen Verhältnisse, die zur Ermittlung des pfändbaren Einkommens nötig sind, von Amtes wegen abzuklären habe, obliege es dem Schuldner, die Behörde über die wesentlichen Tatsachen zu unterrichten und die ihm zugänglichen Beweise anzu- geben. Der Schuldner habe dieser Mitwirkungspflicht bereits anlässlich der Pfän- dung und nicht erst im anschliessenden Beschwerdeverfahren nachzukommen (BGE 119 III 70, 71 f. E. 1; BGer 5P.16/2002, Urteil vom 1. März 2002, E. 4c). Dem ist nichts hinzuzufügen. Es wäre am Beschwerdeführer gewesen, zu belegen, dass und in welcher Höhe er Mietzinse bezahlt. Dass er entsprechende Belege dem Betreibungsamt vorgelegt hat, behauptet er nicht. Vielmehr stellt er sich auf den Standpunkt, die Vorinstanz hätte die Belege einzufordern oder die Verwaltung über die Bezahlung des Mietzinses zu befragen gehabt (vgl. act. 7 S. 3). Wie erwähnt ist es nicht Aufgabe der Aufsichtsbehörde (oder des Betrei-</w:t>
      </w:r>
    </w:p>
    <w:p>
      <w:r>
        <w:t>- 5 - bungsamtes), Nachforschungen zu den Auslagen des Schuldners anzustellen, sondern es obliegt dem Schuldner, die Behörde anlässlich der Pfändung über die wesentlichen Tatsachen zu unterrichten und die ihm zugänglichen Beweise anzu- geben. Belegt er zu berücksichtigende Positionen nicht, wird das Existenzmini- mum ohne deren Berücksichtigung festgelegt, unter Vorbehalt einer späteren Re- vision der Pfändung (vgl. etwa BSK SchKG I-Vonder Mühll, a.a.O., Art. 93 N 25). Die Nichtberücksichtigung des Mietzinses stellt somit weder einen Nichtigkeits- grund noch einen "groben Form- oder Verfahrensfehler" dar. Die Beschwerde ist somit abzuweisen, soweit überhaupt darauf einzutreten ist. Es steht dem Be- schwerdeführer indes frei, eine Revision der Einkommenspfändung beim Betrei- bungsamt zu verlangen (Art. 93 Abs. 3 SchKG). 3.4. Da sogleich ein Endentscheid gefällt werden kann, erübrigt sich ein Ent- scheid über den Antrag des Beschwerdeführers um Erteilung der aufschiebenden Wirkung. 4. 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