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PS190103 vom 2. Juli 2019</w:t>
      </w:r>
    </w:p>
    <w:p>
      <w:r>
        <w:t>ZH Obergericht, 2019-07-02, DE</w:t>
      </w:r>
    </w:p>
    <w:p>
      <w:r>
        <w:rPr>
          <w:b/>
        </w:rPr>
        <w:t xml:space="preserve">Quelle: </w:t>
      </w:r>
      <w:r>
        <w:t>https://mcp.opencaselaw.ch/entscheid/zh_obergericht_PS190103</w:t>
      </w:r>
    </w:p>
    <w:p>
      <w:r>
        <w:t>FR: ZH_OBERGERICHT PS190103 du 2 juillet 2019</w:t>
      </w:r>
    </w:p>
    <w:p>
      <w:r>
        <w:t>IT: ZH_OBERGERICHT PS190103 del 2 luglio 2019</w:t>
      </w:r>
    </w:p>
    <w:p>
      <w:pPr>
        <w:pStyle w:val="Heading2"/>
      </w:pPr>
      <w:r>
        <w:t>Erwägungen</w:t>
      </w:r>
    </w:p>
    <w:p>
      <w:r>
        <w:rPr>
          <w:b/>
        </w:rPr>
        <w:t>E. 1</w:t>
      </w:r>
    </w:p>
    <w:p>
      <w:r>
        <w:t>Mit Verfügungen vom 2. Mai 2019 wies das Betreibungsamt C._____ das Begehren der Beschwerdeführer um Aufschub der Verwertung ihrer Liegenschaft ab (vgl. act. 1, 2/1 und 2/2). Auf die dagegen erhobene Beschwerde trat das Be- zirksgericht Affoltern mit Beschluss vom 28. Mai 2019 als untere kantonale Auf- sichtsbehörde über Schuldbetreibung und Konkurs nicht ein, da es die Beschwer- de als verspätet erachtete (vgl. act. 11). Der Entscheid wurde den Beschwerde- führern am 4. Juni 2019 zugestellt (vgl. act. 7 und 8). Die gegen den Nichteintre- tensentscheid erhobene Beschwerde an das Obergericht des Kantons Zürich als obere kantonale Aufsichtsbehörde über Schuldbetreibung und Konkurs überga- ben die Beschwerdeführer am 17. Juni 2019 der Post (vgl. act. 12 und 14).</w:t>
      </w:r>
    </w:p>
    <w:p>
      <w:r>
        <w:rPr>
          <w:b/>
        </w:rPr>
        <w:t>E. 2</w:t>
      </w:r>
    </w:p>
    <w:p>
      <w:r>
        <w:t>Gegen Beschwerdeentscheide der Bezirksgerichte kann innert zehn Tagen seit der Mitteilung Aufsichtsbeschwerde beim Obergericht erhoben werden (§ 84 GOG ZH). Um die Frist zu wahren, hätte die Beschwerde spätestens am letzten Tag der Frist, hier somit am 14. Juni 2019, beim Gericht eingereicht oder zu des- sen Handen der Schweizerischen Post übergeben werden müssen (vgl. Art. 142 Abs. 1 und Art. 143 Abs. 1 ZPO), weil die effektive Zustellung bereits am 4. Juni 2019 erfolgte (act. 7 + 8) und nicht, wie die Beschwerdeführer geltend machen (act. 12 S. 2) erst am 7. Juni 2019. Die am 17. Juni 2019 der Post übergebene Beschwerde erweist sich demnach als verspätet, weshalb darauf nicht einzutreten ist.</w:t>
      </w:r>
    </w:p>
    <w:p>
      <w:r>
        <w:rPr>
          <w:b/>
        </w:rPr>
        <w:t>E. 3</w:t>
      </w:r>
    </w:p>
    <w:p>
      <w:r>
        <w:t>Schriftliche Mitteilung an die Beschwerdeführer, an das Bezirksgericht Affol- tern sowie an das Betreibungsamt C._____, je gegen Empfangsschein. Die erstinstanzlichen Akten gehen nach unbenütztem Ablauf der Rechtsmit- telfrist an die Vorinstanz zurück.</w:t>
      </w:r>
    </w:p>
    <w:p>
      <w:r>
        <w:rPr>
          <w:b/>
        </w:rPr>
        <w:t>E. 4</w:t>
      </w:r>
    </w:p>
    <w:p>
      <w:r>
        <w:t>Eine Beschwerde gegen diesen Entscheid an das Bundesgericht ist innert 10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Der Gerichtsschreiber: MLaw R. Jenny versandt am: 3. Juli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