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PS190098 vom 15. August 2019</w:t>
      </w:r>
    </w:p>
    <w:p>
      <w:r>
        <w:t>ZH Obergericht, 2019-08-15, DE</w:t>
      </w:r>
    </w:p>
    <w:p>
      <w:r>
        <w:rPr>
          <w:b/>
        </w:rPr>
        <w:t xml:space="preserve">Quelle: </w:t>
      </w:r>
      <w:r>
        <w:t>https://mcp.opencaselaw.ch/entscheid/zh_obergericht_PS190098</w:t>
      </w:r>
    </w:p>
    <w:p>
      <w:r>
        <w:t>FR: ZH_OBERGERICHT PS190098 du 15 août 2019</w:t>
      </w:r>
    </w:p>
    <w:p>
      <w:r>
        <w:t>IT: ZH_OBERGERICHT PS190098 del 15 agosto 2019</w:t>
      </w:r>
    </w:p>
    <w:p>
      <w:pPr>
        <w:pStyle w:val="Heading2"/>
      </w:pPr>
      <w:r>
        <w:t>Erwägungen</w:t>
      </w:r>
    </w:p>
    <w:p>
      <w:r>
        <w:rPr>
          <w:b/>
        </w:rPr>
        <w:t>E. 1</w:t>
      </w:r>
    </w:p>
    <w:p>
      <w:r>
        <w:t>Die B._____ AG (Gläubigerin und Beschwerdegegnerin) betrieb A._____ (Schuldner und Beschwerdeführer, fortan Beschwerdeführer) für eine Forderung in der Höhe von Fr. 653.05 (Betreibung Nr. … des Betreibungsamtes C._____, fortan Betreibungsamt) und stellte am 4. April 2019 das Fortsetzungsbegehren, worauf die Pfändung erfolgte. In den Abrechnungen des Betreibungsamtes zu- handen des Beschwerdeführers vom 7. Mai 2019 (Valutadatum 7. Mai bzw.</w:t>
      </w:r>
    </w:p>
    <w:p>
      <w:r>
        <w:rPr>
          <w:b/>
        </w:rPr>
        <w:t>E. 5</w:t>
      </w:r>
    </w:p>
    <w:p>
      <w:r>
        <w:t>Juni 2019) sind Kosten für die Pfändung in Höhe von Fr. 171.– ersichtlich (act. 4 = act. 12/2; act. 5 = act. 12/3). Mit Schreiben vom 9. Mai 2019 ersuchte der Beschwerdeführer das Betreibungsamt um eine detaillierte Abrechnung hinsicht- lich dieser Kosten (act. 3). Das Betreibungsamt verlangte daraufhin mit Schreiben vom 9. Mai 2019 einen Vorschuss von Fr. 26.60 für die detaillierte Abrechnung, unter Hinweis, dass bei Nichteingang des Betrages innert zehn Tagen das Begeh- ren als zurückgezogen gelte (act. 2 = 12/1). 2. Dagegen erhob der Beschwerdeführer Aufsichtsbeschwerde an das Be- zirksgerichts Dielsdorf als untere kantonale Aufsichtsbehörde über Schuldbetrei- bungs- und Konkurssachen (fortan Vorinstanz). Er beantragte sinngemäss, das Betreibungsamt sei anzuweisen, die detaillierte Kostenrechnung ohne Vorschuss- leistung und überhaupt kostenfrei zu erstellen. Sodann sei der für die Pfändung in Rechnung gestellte Betrag, der nicht nachvollziehbar, aber jedenfalls zu hoch sei, durch die Aufsichtsbehörde zu korrigieren. Zudem sei die Nichtigkeit der ange- fochtenen Verfügung festzustellen, da diese kein Rechtsmittel enthalte. Ferner beantragte der Beschwerdeführer, der Beschwerde sei die aufschiebende Wir- kung zu gewähren (act. 1). 3. Am 24. Mai 2019 erging der folgende Entscheid der Vorinstanz (act. 6 = act. 9 = act. 11, nachfolgend zitiert als act. 9):</w:t>
      </w:r>
    </w:p>
    <w:p>
      <w:r>
        <w:t>- 3 -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