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PS190097 vom 15. August 2019</w:t>
      </w:r>
    </w:p>
    <w:p>
      <w:r>
        <w:t>ZH Obergericht, 2019-08-15, DE</w:t>
      </w:r>
    </w:p>
    <w:p>
      <w:r>
        <w:rPr>
          <w:b/>
        </w:rPr>
        <w:t xml:space="preserve">Quelle: </w:t>
      </w:r>
      <w:r>
        <w:t>https://mcp.opencaselaw.ch/entscheid/zh_obergericht_PS190097</w:t>
      </w:r>
    </w:p>
    <w:p>
      <w:r>
        <w:t>FR: ZH_OBERGERICHT PS190097 du 15 août 2019</w:t>
      </w:r>
    </w:p>
    <w:p>
      <w:r>
        <w:t>IT: ZH_OBERGERICHT PS190097 del 15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B._____ AG (Gläubigerin und Beschwerdegegnerin) betrieb A._____ (Schuldner und Beschwerdeführer, fortan Beschwerdeführer) für eine Forderung in der Höhe von Fr. 653.05 (Betreibung Nr. 1 des Betreibungsamtes C._____, fortan Betreibungsamt) und stellte am 4. April 2019 das Fortsetzungsbegehren (act. 5). Am 6. Mai 2019 wurde in der Folge auf dem Betreibungsamt im Beisein des Beschwerdeführers die Pfändung Nr. 2 vollzogen (act. 6 ff.). Gepfändet wurde eine vom Betreibungsamt auf Fr. 1.– geschätzte Lohnforderung sowie die über das Existenzminimum des Beschwerdeführers hinausgehenden Erwerbseinkünfte (vgl. act. 6). Gleichentags erliess das Betreibungsamt eine Verfügung infolge feh- lender Unterlagen anlässlich des Pfändungsvollzuges. Es forderte den Beschwer- deführer unter Hinweis auf Art. 292 und 323 StGB auf, bis Freitag 17. Mai 2019, 11.00 Uhr dem Betreibungsamt die folgenden Unterlagen im Original oder als gut lesbare Kopien nachzureichen: den Mietvertrag, die Mietzinsquittungen des lau- fenden Monats und der beiden Vormonate, die Krankenkassenpolice 2019, einen aktuellen Auszug aus dem Prämienzahlkonto der Krankenkasse sowie Kontoaus- züge sämtlicher Konten (Bank/Post) der letzten drei Monate vor Pfändungsvollzug (act. 2 = act. 4 = act. 16).</w:t>
      </w:r>
    </w:p>
    <w:p>
      <w:r>
        <w:rPr>
          <w:b/>
        </w:rPr>
        <w:t>E. 2</w:t>
      </w:r>
    </w:p>
    <w:p>
      <w:r>
        <w:t>Gegen diese Verfügung vom 6. Mai 2019 erhob der Beschwerdeführer Auf- sichtsbeschwerde an das Bezirksgericht Dielsdorf als untere kantonale Aufsichts- behörde über Schuldbetreibungs- und Konkurssachen (fortan Vorinstanz) und verlangte sinngemäss, es sei festzustellen, dass er nicht verpflichtet sei, die Kon- toauszüge der letzten drei Monate vorzulegen, und er beantragte, der Beschwer- de sei die aufschiebende Wirkung zu gewähren. Er begründete seine Beschwerde im Wesentlichen damit, nicht damit einverstanden zu sein, dass er offenlegen müsse, für was er Geld ausgebe und wie viel; dies verstosse gegen seine Persön- lichkeitsrechte. Ohnehin ende die Auskunftspflicht mit dem Pfändungsvollzug und sie sei hinsichtlich zeitlich zurückliegender Vermögensdispositionen beschränkt.</w:t>
      </w:r>
    </w:p>
    <w:p>
      <w:r>
        <w:t>- 3 - Die rückwirkend verlangte Auskunft müsse verhältnismässig sein. Ferner bestritt er die Zulässigkeit der durch das Betreibungsamt erfolgten Strafandrohung (act. 1).</w:t>
      </w:r>
    </w:p>
    <w:p>
      <w:r>
        <w:rPr>
          <w:b/>
        </w:rPr>
        <w:t>E. 3</w:t>
      </w:r>
    </w:p>
    <w:p>
      <w:r>
        <w:t>Am 24. Mai 2019 erging der folgende Entscheid der Vorinstanz (act. 10 = act. 13 = act. 15, nachfolgend zitiert als act. 13):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