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PS190091 vom 16. Oktober 2019</w:t>
      </w:r>
    </w:p>
    <w:p>
      <w:r>
        <w:t>ZH Obergericht, 2019-10-16, DE</w:t>
      </w:r>
    </w:p>
    <w:p>
      <w:r>
        <w:rPr>
          <w:b/>
        </w:rPr>
        <w:t xml:space="preserve">Quelle: </w:t>
      </w:r>
      <w:r>
        <w:t>https://mcp.opencaselaw.ch/entscheid/zh_obergericht_PS190091</w:t>
      </w:r>
    </w:p>
    <w:p>
      <w:r>
        <w:t>FR: ZH_OBERGERICHT PS190091 du 16 octobre 2019</w:t>
      </w:r>
    </w:p>
    <w:p>
      <w:r>
        <w:t>IT: ZH_OBERGERICHT PS190091 del 16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Arrestbefehl vom 3. August 2017 gab das Einzelgericht des Bezirksge- richts Zürich dem Arrestbegehren der Arrest-, Pfändungsgläuberin und Be- schwerdeführerin (nachfolgend Gläubigerin) für eine Forderung über gerundet Fr. 28 Mio. zuzüglich Zins von 8 % seit dem 12. bzw. 22. Mai 2017 gegenüber dem Arrest-, Pfändungsschuldner und Beschwerdegegner (nachfolgend Schuld- ner) statt und verarrestierte insbesondere auf den Schuldner lautende Vermö- genswerte bei der D._____ AG bzw. der D._____ Switzerland AG (vgl. Geschäfts- Nr. EQ170143-L, act. 3/5). Das Betreibungsamt Zürich 1 vollzog den Arrest unter der Nr. 1 am 7. August 2017 (vgl. act. 3/9 Anhang) und stellte dem Schuldner die Arresturkunde und den Zahlungsbefehl in der Arrestprosequierungsbetreibung Nr.</w:t>
      </w:r>
    </w:p>
    <w:p>
      <w:r>
        <w:rPr>
          <w:b/>
        </w:rPr>
        <w:t>E. 2</w:t>
      </w:r>
    </w:p>
    <w:p>
      <w:r>
        <w:t>Am 13. Juli 2018 meldete die Drittansprecherin und Beschwerdegegnerin (nachfolgend Drittansprecherin) Anspruch an der Hälfte des gepfändeten Gutha- bens sowie an der Hälfte der gepfändeten Münzen und Medaillen an (act. 3/1 S. 2). Die Drittansprecherin ist die Ehefrau des Schuldners, die beiden haben am</w:t>
      </w:r>
    </w:p>
    <w:p>
      <w:r>
        <w:t>- 4 - tt. August 1997 geheiratet (act. 3/3-4), lebten aber zum Zeitpunkt des Arrestvoll- zuges offenbar bereits getrennt, wobei ein Scheidungsverfahren in Moskau offen- bar hängig ist (vgl. act. 3/6). Inhaltlich machte die Drittansprecherin geltend, sie habe Verfügungsmacht über das Schliessfach Nr. 5 bei der D._____ AG bzw. ha- be diese gehabt, weshalb sie "Mitgewahrsam" an den Vermögenswerten im Sinne von Art. 108 Abs. 1 SchKG gehabt bzw. die D._____ AG gemeinsam mit dem Schuldner und ihr den Gewahrsam ausgeübt habe (act. 3/1 S. 10, Rz. 31). Zudem habe sie aufgrund des einschlägigen russischen Ehegüterrechts als Dritte einen besseren Rechtsschein i.S.v. Art. 108 Abs. 1 Ziff. 2 SchKG (act. 3/1 S. 10, Rz. 32).</w:t>
      </w:r>
    </w:p>
    <w:p>
      <w:r>
        <w:rPr>
          <w:b/>
        </w:rPr>
        <w:t>E. 3</w:t>
      </w:r>
    </w:p>
    <w:p>
      <w:r>
        <w:t>Mit Verfügung vom 7. September 2018 zeigte das Betreibungsamt Zürich 1 der Drittansprecherin an, dass die Gläubigerin die Drittansprache bestritten habe und setzte ihr gemäss Art. 107 Abs. 5 SchKG eine Frist von 20 Tagen an, um ge- gen die Gläubigerin Klage auf Feststellung des Drittanspruchs anzuheben, an- sonsten dieser bei der Betreibung ausser Betracht falle (act. 3/2).</w:t>
      </w:r>
    </w:p>
    <w:p>
      <w:r>
        <w:rPr>
          <w:b/>
        </w:rPr>
        <w:t>E. 4</w:t>
      </w:r>
    </w:p>
    <w:p>
      <w:r>
        <w:t>Mit Eingabe vom 20. September 2018 erhob die Drittansprecherin beim Be- zirksgericht Zürich als untere kantonale Aufsichtsbehörde über Schuldbetreibung und Konkurs (nachfolgend Vorinstanz) Beschwerde gegen diese Verfügung und stellte folgende Rechtsbegehren (act. 1 S. 3 ff.): "1. Es sei die Verfügung des Betreibungsamtes Zürich 1 vom 7. Sep- tember 2018 im Pfändungsverfahren mit der Nr. 3 und im Betrei- bungsverfahren Nr. 2 der Gläubigerin A._____, BVI, gegen den Schuldner C._____ vollumfänglich aufzuheben und es sei der Gläubigerin A._____, BVI, Frist zur Klage im Sinne von Art. 108 Abs. 1 und 2 SchKG auf Aberkennung der mit Eingabe der Be- schwerdeführerin vom 13. Juli 2018 geltend gemachten Ansprü- che anzusetzen; eventualiter sei die Verfügung des Betreibungsamtes Zürich 1 vom 7. September 2018 im Pfändungsverfahren mit der Nr. 3 und im Betreibungsverfahren Nr. 2 der Gläubigerin A._____, BVI, ge- gen den Schuldner C._____ vollumfänglich aufzuheben und die Angelegenheit zur Neubeurteilung an das Betreibungsamt Zü- rich 1 zurückzuweisen; 2. es sei der Beschwerdeführerin im Pfändungsverfahren mit der Nr. 3 am Betreibungsamt Zürich 1</w:t>
      </w:r>
    </w:p>
    <w:p>
      <w:r>
        <w:t>- 5 - a) die Hälfte des Kontoguthabens in der Höhe von umgerechnet CHF 268.30 auf ein von ihr zu bezeichnendes Konto zu überwei- sen sowie b) die Hälfte der gepfändeten Münzen und Medaillen in natura her- auszugeben namentlich die folgenden gepfändeten Münzen und Medaillen: - Nr. 4 gemäss Pfändungsurkunde: E._____ , 1672-1725. Zinn- Medaille 1716. Unsigniert, auf sein Kommando über vier alliierte Flotten bei … vom tt.-tt. August. 53.5 mm. 46.18 g. G.____ 50.1 var. - Nr. 5 gemäss Pfändungsurkunde: E._____, 1672-1725. Goldme- daille 1720. Unsigniert. Tapferkeitsmedaille für Teilnehmer der Seeschlacht bei … (russ: …) am 27. Juli. 38.15 mm. 21.33 g. G._____ 56.3 (R4). - Nr. 6 gemäss Pfändungsurkunde: E._____, 1672-1725. Goldme- daille 1725. Unsigniert, auf den seinen Tod vom tt. Januar. 52.5 mm. 104.05 g. G._____ 63.1 (R4). - Nr. 7 gemäss Pfändungsurkunde: E._____, 1672-1725. Silber- medaille 1725. Unsigniert, auf den seinen Tod vom tt. Januar. 52.4 mm. 66.9 g. G._____ 63.1 (R2). - Nr. 16 gemäss Pfändungsurkunde: F._____, 1894-1917. Imperial zu … Russ 1895, …. Probe. H._____ 338 (R4) - Nr. 17 gemäss Pfändungsurkunde: F._____, 1894-1917. 2/3 Imperial zu … Russ 1895, …. Probe. H._____ 340 (R4). - Nr. 18 gemäss Pfändungsurkunde: F._____, 1894-1917. 1/3 Imperial m … Russ 1895, … Probe. H._____ 341 f (R4); unter Kostenfolge zu Lasten der Staatskasse." Ausserdem beantragte sie, es sei der Beschwerde die aufschiebende Wir- kung zu erteilen und das Pfändungs- und Verwertungsverfahren in der Pfändung Nr. 3 und im Betreibungsverfahren Nr. 2 am Betreibungsamt Zürich 1 bis auf wei- teres einzustellen (act. 1 S. 3). Nach Durchführung des vorinstanzlichen Be- schwerdeverfahrens, dessen detaillierter Ablauf dem vorinstanzlichen Entscheid entnommen werden kann (act. 58 S. 3 ff., E. II.2.1.-2.12.), erliess die Vorinstanz folgenden Endentscheid (act. 58 [= act. 55]):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