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PS190080 vom 9. Mai 2019</w:t>
      </w:r>
    </w:p>
    <w:p>
      <w:r>
        <w:t>ZH Obergericht, 2019-05-09, DE</w:t>
      </w:r>
    </w:p>
    <w:p>
      <w:r>
        <w:rPr>
          <w:b/>
        </w:rPr>
        <w:t xml:space="preserve">Quelle: </w:t>
      </w:r>
      <w:r>
        <w:t>https://mcp.opencaselaw.ch/entscheid/zh_obergericht_PS190080</w:t>
      </w:r>
    </w:p>
    <w:p>
      <w:r>
        <w:t>FR: ZH_OBERGERICHT PS190080 du 9 mai 2019</w:t>
      </w:r>
    </w:p>
    <w:p>
      <w:r>
        <w:t>IT: ZH_OBERGERICHT PS190080 del 9 maggio 2019</w:t>
      </w:r>
    </w:p>
    <w:p>
      <w:pPr>
        <w:pStyle w:val="Heading2"/>
      </w:pPr>
      <w:r>
        <w:t>Erwägungen</w:t>
      </w:r>
    </w:p>
    <w:p>
      <w:r>
        <w:rPr>
          <w:b/>
        </w:rPr>
        <w:t>E. 1</w:t>
      </w:r>
    </w:p>
    <w:p>
      <w:r>
        <w:t>A._____ (nachfolgend Beschwerdeführerin) ist Schuldnerin der in der Be- treibung Nr. 2 geltend gemachten Forderung der B._____ SA (nachfolgend Be- schwerdegegnerin) in der Höhe von Fr. 354.25 (vgl. act. 3/3). Mit der Beschwerde vom 1. April 2019 beanstandete sie bei der unteren kantonalen Aufsichtsbehörde (nachfolgend Vorinstanz) die Pfändung des Barbetrags von Fr. 2'826.– (vgl. act. 1 und act. 3/2). Mit Beschluss vom 5. April 2019 wies die Vorinstanz die Beschwer- de ab, soweit sie darauf eintrat (vgl. act. 7). Gegen diesen Entscheid führt die Be- schwerdeführerin mit Eingabe vom 29. April 2019 Beschwerde beim Obergericht des Kantons Zürich als obere kantonale Aufsichtsbehörde über Schuldbetreibung und Konkurs und verlangt die Annullierung der Pfändung sowie die Zusprechung einer Umtriebsentschädigung (vgl. act. 8). Die Gerichtsferien sind in betreibungsrechtlichen Beschwerdeverfahren grund- sätzlich nicht zu beachten (vgl. ZR 110/2011 Nr. 78). Im vorinstanzlichen Ent- scheid fehlte jedoch ein entsprechender Hinweis (vgl. OGer ZH PS140243 vom 13. Oktober 2014 E. II.3.3), weshalb die zehntägige Beschwerdefrist ausnahms- weise vom Fristenstillstand während der Gerichtsferien erfasst wurde (vgl. BGE 139 III 78 E. 5). Die Beschwerde erfolgte somit rechtzeitig. In den Akten befindet sich lediglich eine Kopie der Vollmacht an Rechtsanwalt lic. iur. X._____ (vgl. act. 2). Da auf die Beschwerde aus den nachfolgenden Gründen ohnehin nicht einzutreten ist, kann auf eine Fristansetzung zur Einrei- chung einer Originalvollmacht verzichtet werden. Die vorinstanzlichen Akten wur- den beigezogen (act. 1-5). Auf die Einholung einer Beschwerdeantwort bzw. einer Stellungnahme kann verzichtet werden (vgl. § 18 EG SchKG i.V.m. § 84 GOG i.V.m. Art. 322 und Art. 324 ZPO). Das Verfahren ist spruchreif.</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w:t>
      </w:r>
    </w:p>
    <w:p>
      <w:r>
        <w:t>- 3 - gründen. Die Beschwerde führende Partei hat sich hierbei mit der Begründung des vorinstanzlichen Entscheides im Einzelnen auseinander zu setzen und anzu- geben, an welchen Mängeln der angefochtene Entscheid ihrer Ansicht nach lei- det. Bei fehlender Auseinandersetzung bzw. Begründung ist auf die Beschwerde ohne Weiteres nicht einzutreten (vgl. Art. 321 ZPO sowie OGer ZH PS190042 vom 27. März 2019 E 2).</w:t>
      </w:r>
    </w:p>
    <w:p>
      <w:r>
        <w:rPr>
          <w:b/>
        </w:rPr>
        <w:t>E. 3</w:t>
      </w:r>
    </w:p>
    <w:p>
      <w:r>
        <w:t>Die Beschwerdeführerin ist der Ansicht, die Pfändung sei unverhältnismäs- sig und rechtsmissbräuchlich vollzogen worden und müsse deshalb annulliert werden (vgl. act. 8 S. 1 sowie S. 5-9). Sie macht einerseits sinngemäss geltend, es sei von der Vorinstanz zu Unrecht nicht berücksichtigt worden, dass sie ge- genüber der Beschwerdegegnerin eine Forderung in der Höhe von Fr. 2'820.– habe, mit welcher die Forderung der Beschwerdegegnerin in der Höhe von Fr. 354.25 verrechnet worden sei. Die Vorinstanz führte aus, die Aufsichtsbehörde dürfe den materiellen Einwand, die betriebene Forderung sei durch Verrechnung getilgt worden, aufgrund ihrer beschränkten Kognition nicht prüfen (vgl. act. 7 E. 5). Mit dieser entscheidenden Ausführung setzt sich die Beschwerdeführerin nicht auseinander und kommt daher ihrer Begründungspflicht nicht nach. Soweit die Beschwerdeführerin andererseits sinngemäss das Verhältnis zwischen der Forderung der Beschwerdegegnerin in Höhe von Fr. 354.25 und dem gepfän- deten Barbetrag in der Höhe von Fr. 2'826.– bemängelt (vgl. insb. act. 8 S. 6), fehlt im jetzigen Verfahrensstadium ein Interesse an einer Herabsetzung der Pfändung, da die Schlussabrechnung bereits vorliegt (vgl. act. 3/2 S. 5) und die Beschwerdeführerin entsprechend zu viel gepfändetes zurückerhalten wird (vgl. OGer ZH PS120189 vom 2. November 2012 E. II.5.2). Die Vorinstanz unterliess diesbezüglich somit zu Recht ein Einschreiten gestützt auf Art. 22 SchKG (vgl. act. 7 E. 5). Den Antrag auf Umtriebsentschädigung begründete die Beschwerde- führerin nicht. Im Ergebnis ist auf die Beschwerde mangels Begründung bzw. mangels Rechtsschutzinteresses nicht einzutreten.</w:t>
      </w:r>
    </w:p>
    <w:p>
      <w:r>
        <w:rPr>
          <w:b/>
        </w:rPr>
        <w:t>E. 4</w:t>
      </w:r>
    </w:p>
    <w:p>
      <w:r>
        <w:t>Das Beschwerdeverfahren ist kostenlos (Art. 20a Abs. 2 Ziff. 5 SchKG und Art. 61 Abs. 2 GebV SchKG). Parteientschädigungen dürfen in diesem Verfahren nicht zugesprochen werden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