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PS190072 vom 7. Mai 2019</w:t>
      </w:r>
    </w:p>
    <w:p>
      <w:r>
        <w:t>ZH Obergericht, 2019-05-07, DE</w:t>
      </w:r>
    </w:p>
    <w:p>
      <w:r>
        <w:rPr>
          <w:b/>
        </w:rPr>
        <w:t xml:space="preserve">Quelle: </w:t>
      </w:r>
      <w:r>
        <w:t>https://mcp.opencaselaw.ch/entscheid/zh_obergericht_PS190072</w:t>
      </w:r>
    </w:p>
    <w:p>
      <w:r>
        <w:t>FR: ZH_OBERGERICHT PS190072 du 7 mai 2019</w:t>
      </w:r>
    </w:p>
    <w:p>
      <w:r>
        <w:t>IT: ZH_OBERGERICHT PS190072 del 7 maggio 2019</w:t>
      </w:r>
    </w:p>
    <w:p>
      <w:pPr>
        <w:pStyle w:val="Heading2"/>
      </w:pPr>
      <w:r>
        <w:t>Erwägungen</w:t>
      </w:r>
    </w:p>
    <w:p>
      <w:r>
        <w:rPr>
          <w:b/>
        </w:rPr>
        <w:t>E. 1</w:t>
      </w:r>
    </w:p>
    <w:p>
      <w:r>
        <w:t>A._____ (nachfolgend Beschwerdeführer) ist Schuldner der in der Betrei- bung Nr. … geltend gemachten Forderung der B._____ SA in der Höhe von Fr. 2'080.30 (vgl. act. 6/2/1). Mit der Beschwerde vom 13. November 2018 bean- standete er bei der unteren kantonalen Aufsichtsbehörde (nachfolgend Vo- rinstanz) die Pfändung des Barbetrags von Fr. 2'800.– (vgl. act. 1 und act. 2/1). Mit Beschluss vom 25. März 2019 wies die Vorinstanz die Beschwerde ab, soweit sie darauf eintrat (vgl. act. 12). Gegen diesen Entscheid führt der Beschwerdefüh- rer mit Eingabe vom 11. April 2019 rechtzeitig Beschwerde beim Obergericht des Kantons Zürich als obere kantonale Aufsichtsbehörde über Schuldbetreibung und Konkurs (vgl. act. 10/3 und 13). Die vorinstanzlichen Akten wurden beigezogen (act. 1-10). Auf die Einholung einer Beschwerdeantwort bzw. einer Stellungnahme kann verzichtet werden (vgl. § 18 EG SchKG i.V.m. § 84 GOG i.V.m. Art. 322 und Art. 324 ZPO). Das Verfahren ist spruchreif.</w:t>
      </w:r>
    </w:p>
    <w:p>
      <w:r>
        <w:rPr>
          <w:b/>
        </w:rPr>
        <w:t>E. 2</w:t>
      </w:r>
    </w:p>
    <w:p>
      <w:r>
        <w:t>Für das Beschwerdeverfahren nach Art. 18 SchKG sind die Regelungen von Art. 319 ff. ZPO anwendbar (Art. 20a Abs. 3 SchKG i.V.m. § 18 EG SchKG i.V.m § 84 GOG). Mit der Beschwerde können die unrichtige Rechtsanwendung und die offensichtlich unrichtige Feststellung des Sachverhaltes geltend gemacht werden (Art. 320 ZPO). Dabei sind konkrete Beschwerdeanträge zu stellen und zu be- gründen. Die Beschwerde führende Partei hat sich hierbei mit der Begründung des vorinstanzlichen Entscheides im Einzelnen auseinander zu setzen und anzu- geben, an welchen Mängeln der angefochtene Entscheid ihrer Ansicht nach leidet (vgl. Art. 321 ZPO). Bei Parteien ohne anwaltliche Vertretung wird an diese Erfor- dernisse ein weniger strenger Massstab angelegt. Bei fehlender Auseinanderset- zung bzw. Begründung ist jedoch auf die Beschwerde ohne Weiteres nicht einzu- treten (OGer ZH PS190042 vom 27. März 2019 E 2). Neue Anträge, neue Tatsa- chen und neue Beweismittel sind im Beschwerdeverfahren ausgeschlossen (Art. 326 ZPO). Das gilt auch im zweitinstanzlichen betreibungsrechtlichen Be- schwerdeverfahren (OGer ZH PS190042 vom 27. März 2019 E 2).</w:t>
      </w:r>
    </w:p>
    <w:p>
      <w:r>
        <w:t>- 3 -</w:t>
      </w:r>
    </w:p>
    <w:p>
      <w:r>
        <w:rPr>
          <w:b/>
        </w:rPr>
        <w:t>E. 3</w:t>
      </w:r>
    </w:p>
    <w:p>
      <w:r>
        <w:t>Der Beschwerdeführer wiederholt seinen im vorinstanzlichen Verfahren ge- stellten Antrag, es seien alle Betreibungen zu löschen (vgl. act. 13 S. 2 Antrag 2). Er setzt sich jedoch mit den vorinstanzlichen Erwägungen zu diesem Thema nicht auseinander und äussert sich insbesondere nicht dazu, an welchen Mängeln der Entscheid der Vorinstanz seiner Ansicht nach leidet. Damit sind die elementaren Voraussetzungen an die Beschwerdebegründung nicht erfüllt, was zu einem Nichteintreten führt. Bei den Anträgen, der Vertrag vom 25. Mai 2017 sei für un- gültig zu erklären und es sei ihm eine Prämienverbilligung ab dem Jahr 2011 zu- zusprechen (vgl. act. 13 S. 2 Antrag 1 und 3), handelt es sich um unzulässige neue Anträge, für deren Behandlung die hiesige Aufsichtsbehörde ohnehin sach- lich nicht zuständig ist. Auf die Beschwerde kann daher insgesamt nicht eingetre- ten werden.</w:t>
      </w:r>
    </w:p>
    <w:p>
      <w:r>
        <w:rPr>
          <w:b/>
        </w:rPr>
        <w:t>E. 4</w:t>
      </w:r>
    </w:p>
    <w:p>
      <w:r>
        <w:t>Das Beschwerdeverfahren ist kostenlos (Art. 20a Abs. 2 Ziff. 5 SchKG und Art. 61 Abs. 2 GebV SchKG). Parteientschädigungen dürfen in diesem Ver- fahren nicht zugesprochen werden (Art. 62 Abs. 2 GebV SchKG). Der Beschwer- deführer stellt für das Beschwerdeverfahren sinngemäss ein Gesuch um unent- geltliche Rechtsverbeiständung. Da sich die Beschwerde nach dem Gesagten von vornherein als aussichtslos im Sinne des Art. 117 ZPO erweist, fehlt es an einer der zwei grundlegenden Voraussetzungen, die zugleich erfüllt sein müssen, damit die unentgeltliche Rechtspflege bewilligt werden kann. Das Gesuch ist deshalb ohne Weiteres abzuweisen. Aus den Akten ergibt sich im Übrigen nicht, dass der Beschwerdeführer – wie er dies in seiner Beschwerde ausführt – bereits im vor- instanzlichen Verfahren einen Anwalt verlangt hat.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