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PS190056 vom 1. April 2019</w:t>
      </w:r>
    </w:p>
    <w:p>
      <w:r>
        <w:t>ZH Obergericht, 2019-04-01, DE</w:t>
      </w:r>
    </w:p>
    <w:p>
      <w:r>
        <w:rPr>
          <w:b/>
        </w:rPr>
        <w:t xml:space="preserve">Quelle: </w:t>
      </w:r>
      <w:r>
        <w:t>https://mcp.opencaselaw.ch/entscheid/zh_obergericht_PS190056</w:t>
      </w:r>
    </w:p>
    <w:p>
      <w:r>
        <w:t>FR: ZH_OBERGERICHT PS190056 du 1 avril 2019</w:t>
      </w:r>
    </w:p>
    <w:p>
      <w:r>
        <w:t>IT: ZH_OBERGERICHT PS190056 del 1 aprile 2019</w:t>
      </w:r>
    </w:p>
    <w:p>
      <w:pPr>
        <w:pStyle w:val="Heading2"/>
      </w:pPr>
      <w:r>
        <w:t>Erwägungen</w:t>
      </w:r>
    </w:p>
    <w:p>
      <w:r>
        <w:rPr>
          <w:b/>
        </w:rPr>
        <w:t>E. 1</w:t>
      </w:r>
    </w:p>
    <w:p>
      <w:r>
        <w:t>A._____ ist Schuldner in der Betreibung Nr. …. Mit Beschwerde vom</w:t>
      </w:r>
    </w:p>
    <w:p>
      <w:r>
        <w:rPr>
          <w:b/>
        </w:rPr>
        <w:t>E. 4</w:t>
      </w:r>
    </w:p>
    <w:p>
      <w:r>
        <w:t>Januar 2019 beschwerte er sich bei der unteren kantonalen Aufsichtsbehörde über die Kosten auf der ihm zugestellten Konkursandrohung sowie über die Amts- führung des Betreibungsamtes (vgl. act. 1 und act. 3). Mit Beschluss vom 21. Februar 2019 wies die untere Aufsichtsbehörde die Beschwerde ab, soweit sie darauf eintrat (act. 11 = act. 14). Gegen diesen Entscheid setzte sich A._____ (nachfolgend Beschwerdeführer) mit am 25. März 2019 persönlich überbrachter Beschwerde beim Obergericht als obere kantonale Aufsichtsbehörde zur Wehr (vgl. act. 15). 2. Nach Eingang einer Klage oder eines Rechtsmittels prüft das Gericht von Amtes wegen, ob die Prozess- bzw. Rechtsmittelvoraussetzungen erfüllt sind. Dazu gehört u.a. die Einhaltung der gesetzlichen Rechtsmittelfristen. Gegen Ent- scheide der unteren kantonalen Aufsichtsbehörde kann innert 10 Tage Be- schwerde bei der oberen kantonalen Aufsichtsbehörde erhoben werden (Art. 20a Abs. 3 SchKG i.V.m. § 84 und § 85 GOG i.V.m. Art. 319 ff. ZPO). Da die betrei- bungsrechtliche Beschwerde keine gerichtliche Angelegenheit des Schuldbetrei- bungs- und Konkursrechts ist, richtet sich der Fristenlauf nach Art. 56 Ziff. 2 und Art. 63 SchKG (vgl. BGE 141 III 170 E. 3). Die Frist gilt als gewahrt, wenn die Rechtsmittelschrift am letzten Tag der Frist dem Gericht oder der Schweizeri- schen Post oder einer schweizerischen diplomatischen bzw. konsularischen Ver- tretung zuhanden des Gerichts übergeben worden ist (vgl. Art. 31 SchKG i.V.m. Art. 143 ZPO). Wird die Rechtsmittelschrift verspätet eingereicht, ist auf das Rechtsmittel nicht einzutreten. Der Beschluss der Vorinstanz vom 21. Februar 2019 wurde dem Beschwer- deführer am 12. März 2019 zugestellt (vgl. act. 12). Die zehntägige Rechtsmittel- frist endete demnach am 22. März 2019. Die Beschwerdeschrift wurde am 25. März 2019 am Empfang des Obergerichts abgegeben (vgl. Eingangsstempel auf act. 15 und angeheftetes Couvert). Die Beschwerde erweist sich damit als verspätet, weshalb darauf nicht einzutreten ist.</w:t>
      </w:r>
    </w:p>
    <w:p>
      <w:r>
        <w:t>- 3 - 3. Gerichtskosten sind keine zu erheben (vgl. Art. 20a Abs. 2 Ziff. 5 SchKG und Art. 61 Abs. 2 GebV SchKG), und eine Parteientschädigung ist nicht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