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PS190053 vom 26. März 2019</w:t>
      </w:r>
    </w:p>
    <w:p>
      <w:r>
        <w:t>ZH Obergericht, 2019-03-26, DE</w:t>
      </w:r>
    </w:p>
    <w:p>
      <w:r>
        <w:rPr>
          <w:b/>
        </w:rPr>
        <w:t xml:space="preserve">Quelle: </w:t>
      </w:r>
      <w:r>
        <w:t>https://mcp.opencaselaw.ch/entscheid/zh_obergericht_PS190053</w:t>
      </w:r>
    </w:p>
    <w:p>
      <w:r>
        <w:t>FR: ZH_OBERGERICHT PS190053 du 26 mars 2019</w:t>
      </w:r>
    </w:p>
    <w:p>
      <w:r>
        <w:t>IT: ZH_OBERGERICHT PS190053 del 26 marzo 2019</w:t>
      </w:r>
    </w:p>
    <w:p>
      <w:pPr>
        <w:pStyle w:val="Heading2"/>
      </w:pPr>
      <w:r>
        <w:t>Erwägungen</w:t>
      </w:r>
    </w:p>
    <w:p>
      <w:r>
        <w:rPr>
          <w:b/>
        </w:rPr>
        <w:t>E. 1</w:t>
      </w:r>
    </w:p>
    <w:p>
      <w:r>
        <w:t>Das Konkursgericht des Bezirksgerichtes Zürich eröffnete mit Urteil vom tt.mm.2019 über die Beschwerdeführerin den Konkurs (act. 3). Mit Beschwerde vom 21. März 2019 beantragte die Beschwerdeführerin rechtzeitig die Aufhebung des Konkurses, im Wesentlichen mit der Begründung, sie sei nicht überschuldet, es bestehe eine gute Auftragslage und es stehe unmittelbar die Übernahme durch einen Investor bevor, wobei mit dessen ersten Anzahlung per 31. März 2019 die Konkursforderung befriedigt werden könnte. Auch die Weiterführung des Unter- nehmens sei durch einen talentierten und fachlich kompetenten Nachfolger gesi- chert. Die Konkurseröffnung sei lediglich auf einen vorübergehenden Liquiditäts- engpass zurückzuführen (act. 2). Gleichzeitig stellte die Beschwerdeführerin ein Gesuch um Erteilung der aufschiebenden Wirkung.</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rPr>
          <w:b/>
        </w:rPr>
        <w:t>E. 3</w:t>
      </w:r>
    </w:p>
    <w:p>
      <w:r>
        <w:t>Das angefochtene Konkurserkenntnis wurde der Beschwerdeführerin am 11. März 2019 zugestellt, mit dem Hinweis, dass für die Rechtsmittelfrist die ge- setzlichen Fristenstillstände gemäss Art. 145 Abs. 2 ZPO nicht gelten (act. 2 und act. 7/23). Die zehntägige Rechtsmittelfrist lief somit bis zum 21. März 2019 (Art. 142 ZPO). Innert dieser Frist hat die Beschwerdeführerin weder einen Nach- weis über die Tilgung oder Hinterlegung der Konkursforderung samt Kosten ein-</w:t>
      </w:r>
    </w:p>
    <w:p>
      <w:r>
        <w:t>- 3 - gereicht, noch einen Nachweis dafür, dass die Beschwerdegegnerin auf die Durchführung des Konkurses verzichtet. Das Vorliegen eines Konkurshinde- rungsgrundes wurde im Übrigen auch nicht behauptet. Die Beschwerde erweist sich bereits deshalb als unbegründet. Dass damit ein Unternehmen untergeht, dass nach Darstellung seines Verwaltungsrates C._____ an sich eine Zukunft ge- habt hätte, ist gewiss bedauerlich. Das zu verhindern hätte aber einer besseren Liquiditätsplanung bedurft. In der aktuellen Situation kann der betreibenden Gläu- bigerin das Recht auf Festsetzung der Zwangsvollstreckung nicht abgesprochen werden. Mit dem vorliegenden Entscheid in der Sache wird das Gesuch der Be- schwerdeführerin um Erteilung der aufschiebenden Wirkung hinfällig.</w:t>
      </w:r>
    </w:p>
    <w:p>
      <w:r>
        <w:rPr>
          <w:b/>
        </w:rPr>
        <w:t>E. 4</w:t>
      </w:r>
    </w:p>
    <w:p>
      <w:r>
        <w:t>Die Kosten des Beschwerdeverfahrens sind ausgangsgemäss der Be- schwerdeführerin aufzuerlegen (Art. 106 Abs. 1 ZPO). Der Berufungsbeklagten ist für das Beschwerdeverfahren mangels Umtrieben, die zu entschädigen wären,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