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PS190044 vom 28. August 2019</w:t>
      </w:r>
    </w:p>
    <w:p>
      <w:r>
        <w:t>ZH Obergericht, 2019-08-28, DE</w:t>
      </w:r>
    </w:p>
    <w:p>
      <w:r>
        <w:rPr>
          <w:b/>
        </w:rPr>
        <w:t xml:space="preserve">Quelle: </w:t>
      </w:r>
      <w:r>
        <w:t>https://mcp.opencaselaw.ch/entscheid/zh_obergericht_PS190044</w:t>
      </w:r>
    </w:p>
    <w:p>
      <w:r>
        <w:t>FR: ZH_OBERGERICHT PS190044 du 28 août 2019</w:t>
      </w:r>
    </w:p>
    <w:p>
      <w:r>
        <w:t>IT: ZH_OBERGERICHT PS190044 del 28 agosto 2019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September 2018; vgl. act. 3/3; das Rechtsmittel der Ehefrau war vom Bun- desgericht mit demselben Urteil gutgeheissen worden, soweit es darauf eingetre- ten war). 1.5. Am 11. Oktober 2018 (Eingangsdatum) stellte der Staat und die Stadt Zü- rich, vertreten durch das Steueramt der Stadt Zürich, Rechtsdienst (fortan Be- schwerdegegner) ein Betreibungsbegehren gegen den Beschwerdeführer als Schuldner beim Betreibungsamt Zürich 7 zur Teilprosequierung des Arrestes Nr. … (act. 7/1). Am 24. Oktober 2018 wurde der Zahlungsbefehl vom 11. Oktober 2018 in der Betreibung Nr. … zugestellt. Unter der Rubrik Forderungsurkunde mit Datum oder Angabe des Forderungsgrundes wurde festgehalten: "rechtskräftig veranlagte Staats- und Gemeindesteuern 2010, 2011, 2012 und 2013" aufgrund "Einschätzungsentscheide, Rechnungen, Rechtsmittelentscheide insbesondere Urteil des Bundesgerichts vom 18. September 2018 betreffend Staats- und Ge- meindesteuern Zürich der Steuerperioden 2010, 2011, 2012 und 2013 sowie Si- cherstellungsverfügung vom 3. April 2017 – Teilprosequierung Arrest … des Be- treibungsamtes Zürich 7 bezüglich Staats- und Gemeindesteuern 2010–2013". Der in Betreibung gesetzte Betrag wurde zugleich mit Fr. 43'320'110.05 zuzüglich Zinsen sowie Arrest- und Betreibungskosten angegeben. Es wurde umgehend Rechtsvorschlag erhoben (act. 3/2 = act. 7/3 = act. 10/2). 2.1. Am 5. November 2018 erhob der Beschwerdeführer Aufsichtsbeschwerde beim Bezirksgericht Zürich als untere kantonale Aufsichtsbehörde über Schuldbe- treibungs- und Konkurssachen (fortan Vorinstanz) und verlangte, es sei die Nich-</w:t>
      </w:r>
    </w:p>
    <w:p>
      <w:r>
        <w:t>- 4 - tigkeit des Zahlungsbefehls vom 11. Oktober 2018 festzustellen, eventualiter sei dieser aufzuheben, und es sei die Betreibung Nr. … des Betreibungsamtes Zü- rich 7 aufzuheben. Er begründete seine Beschwerde im Wesentlichen damit, der Zahlungsbefehl in der Betreibung Nr. … sei schwerwiegend fehlerhaft und die fragliche Betreibung sei rechtsmissbräuchlich (act. 1). Im Rahmen der durch die Vorinstanz eingeholten Beschwerdeantwort und Vernehmlassung vom</w:t>
      </w:r>
    </w:p>
    <w:p>
      <w:r>
        <w:rPr>
          <w:b/>
        </w:rPr>
        <w:t>E. 22</w:t>
      </w:r>
    </w:p>
    <w:p>
      <w:r>
        <w:t>November 2018 beantragten die Beschwerdegegner und das Betreibungsamt Zürich 7 die vollumfängliche Abweisung der Beschwerde (act. 6 u. act. 8). Die Be- schwerdegegner beantragten sodann die Sistierung des Verfahrens (act. 8 S. 2). Den Antrag auf Sistierung stellte in der Folge auch der Beschwerdeführer mit Ein- gabe vom 4. Dezember 2018 (act. 13 S. 2). 2.2. Am 28. Februar 2019 erging der folgende Entscheid der Vorinstanz (act. 14 = act. 17 = act. 19, nachfolgend zitiert als act. 17):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