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PS190043 vom 28. August 2019</w:t>
      </w:r>
    </w:p>
    <w:p>
      <w:r>
        <w:t>ZH Obergericht, 2019-08-28, DE</w:t>
      </w:r>
    </w:p>
    <w:p>
      <w:r>
        <w:rPr>
          <w:b/>
        </w:rPr>
        <w:t xml:space="preserve">Quelle: </w:t>
      </w:r>
      <w:r>
        <w:t>https://mcp.opencaselaw.ch/entscheid/zh_obergericht_PS190043</w:t>
      </w:r>
    </w:p>
    <w:p>
      <w:r>
        <w:t>FR: ZH_OBERGERICHT PS190043 du 28 août 2019</w:t>
      </w:r>
    </w:p>
    <w:p>
      <w:r>
        <w:t>IT: ZH_OBERGERICHT PS190043 del 28 agosto 2019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September 2018, sowie act. 3/3 u. act. 7/5). Den gegen die Sicherstellungs- verfügungen erhobenen Rechtsmitteln war innerkantonal und schliesslich vor Bundesgericht kein Erfolg beschieden (BGer 2C_669/2016 u. 2C_670/2016 vom 8. Dezember 2016). 1.4. Am 24. Februar 2017 ersuchte der Beschwerdeführer das Betreibungsamt Zürich 7 in beiden Arrestverfahren (Nr. 1 und 2) um Freigabe der Arrestgegen- stände, da der Sicherstellungsgrund des ausländischen Wohnsitzes dahingefallen sei. Mit Verfügungen vom 27. Februar 2017 wies das Betreibungsamt beide Ge- suche ab und mit einer gleichentags ergangenen Verfügung hielt es fest, dass das Steueramt mit Einleitung des Veranlagungsverfahrens die Arreste Nr. 1 und 2 gültig prosequiert habe (act. 3/4 = act. 9/4). Die gegen diese Verfügungen erho- benen Rechtsmittel wurden zuerst innerkantonal und schliesslich vom Bundesge- richt mit Urteil vom 13. Dezember 2018 abgewiesen, soweit es darauf eintrat (BGer 5A_141/2018 u. 5A_142/2018 vom 13. Dezember 2018; vgl. act. 13). Auf eine am 29. März 2017 beim Steueramt beantrage Wiedererwägung der Sicher- stellungsverfügungen wegen Zuzugs in die Schweiz und damit Wegfall des Aus- landwohnsitzes als Sicherstellungsgrund trat das Steueramt nicht ein, und das dagegen erhobene Rechtsmittel war, nachdem es zuerst innerkantonal abgewie- sen worden war, mit Urteil vom 30. Oktober 2018 durch das Bundesgericht abge- wiesen worden, soweit darauf eingetreten worden war (BGer 2C_543/2018; vgl. act. 9/6). 1.5. Bereits mit Urteil vom 18. September 2018 hatte das Bundesgericht das ge- gen die Verfügungen vom 26. bzw. 27. Januar 2016 erhobene Rechtsmittel des Beschwerdeführers – mit welchem er zuerst innerkantonal erfolglos geblieben war – weitgehend abgewiesen. Lediglich hinsichtlich der vorinstanzlichen Kosten- und Entschädigungsfolgen war dem Beschwerdeführer vor Bundesgericht Erfolg beschieden und die Sache wurde diesbezüglich durch das Bundesgericht zurück-</w:t>
      </w:r>
    </w:p>
    <w:p>
      <w:r>
        <w:t>- 4 - gewiesen (BGer 2C_799/2017 u. 2C_800/2017 vom 18. September 2018; vgl. act. 3/7 = act. 9/9; das Rechtsmittel der Ehefrau war vor Bundesgericht mit dem- selben Urteil gutgeheissen worden, soweit es darauf eingetreten war). 1.6. Am 8. Oktober 2018 (Eingangsdatum) stellte der Kanton Zürich, vertreten durch das Steueramt, Gruppe Bezugsdienste (fortan Beschwerdegegner) ein Be- treibungsbegehren gegen den Beschwerdeführer als Schuldner beim Betrei- bungsamt Zürich 7 zur Prosequierung des Arrestes Nr. 1 (act. 7/1 = act. 9/8). Am 24. Oktober 2018 wurde der Zahlungsbefehl vom 8. Oktober 2018 in der Betrei- bung Nr. … zugestellt, unter Angabe von "Nachsteuern und Bussen inkl. Zins bis 29. Februar 2016 pro 2005 bis 2009 – Prosequierung des Arrestes Nr. 1 des Be- treibungsamtes Zürich 7" als Forderungsgrund. Der gestützt darauf betriebene Betrag lautete auf Fr. 80'310'032.85 zuzüglich Zinsen, Betreibungs- und Arrest- kosten. Es wurde umgehend Rechtsvorschlag erhoben (act. 3/2 = act. 7/3 = act. 9/7). 2.1. Am 5. November 2018 erhob der Beschwerdeführer Aufsichtsbeschwerde beim Bezirksgericht Zürich als untere kantonale Aufsichtsbehörde über Schuldbe- treibungs- und Konkurssachen (fortan Vorinstanz) und verlangte, es sei die Nich- tigkeit des Zahlungsbefehls vom 8. Oktober 2018 festzustellen, eventualiter sei dieser aufzuheben, und es sei die Betreibung Nr. … des Betreibungsamtes Zü- rich 7 aufzuheben. Er begründete seine Beschwerde im Wesentlichen damit, der Zahlungsbefehl in der Betreibung Nr. … sei schwerwiegend fehlerhaft, überdies sei die örtliche Zuständigkeit des Betreibungsamtes Zürich 7 nicht gegeben und die fragliche Betreibung sei sodann rechtsmissbräuchlich (act. 1). Im Rahmen der durch die Vorinstanz eingeholten Beschwerdeantwort und Vernehmlassung vom</w:t>
      </w:r>
    </w:p>
    <w:p>
      <w:r>
        <w:rPr>
          <w:b/>
        </w:rPr>
        <w:t>E. 22</w:t>
      </w:r>
    </w:p>
    <w:p>
      <w:r>
        <w:t>November 2018 beantragten der Beschwerdegegner und das Betreibungsamt Zürich 7 die vollumfängliche Abweisung der Beschwerde (act. 6 u. act. 8). Der Beschwerdegegner beantragte sodann die Sistierung des Verfahrens (act. 8 S. 2). Den Antrag auf Sistierung stellte in der Folge auch der Beschwerdeführer mit Ein- gabe vom 4. Dezember 2018 (act. 12 S. 2). 2.2. Am 27. Februar 2019 erging der folgende Entscheid der Vorinstanz (act. 14 = act. 17 = act. 19, nachfolgend zitiert als act. 17):</w:t>
      </w:r>
    </w:p>
    <w:p>
      <w:r>
        <w:t>- 5 -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