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PS190028 vom 13. März 2019</w:t>
      </w:r>
    </w:p>
    <w:p>
      <w:r>
        <w:t>ZH Obergericht, 2019-03-13, DE</w:t>
      </w:r>
    </w:p>
    <w:p>
      <w:r>
        <w:rPr>
          <w:b/>
        </w:rPr>
        <w:t xml:space="preserve">Quelle: </w:t>
      </w:r>
      <w:r>
        <w:t>https://mcp.opencaselaw.ch/entscheid/zh_obergericht_PS190028</w:t>
      </w:r>
    </w:p>
    <w:p>
      <w:r>
        <w:t>FR: ZH_OBERGERICHT PS190028 du 13 mars 2019</w:t>
      </w:r>
    </w:p>
    <w:p>
      <w:r>
        <w:t>IT: ZH_OBERGERICHT PS190028 del 13 marzo 2019</w:t>
      </w:r>
    </w:p>
    <w:p>
      <w:pPr>
        <w:pStyle w:val="Heading2"/>
      </w:pPr>
      <w:r>
        <w:t>Erwägungen</w:t>
      </w:r>
    </w:p>
    <w:p>
      <w:r>
        <w:rPr>
          <w:b/>
        </w:rPr>
        <w:t>E. 2</w:t>
      </w:r>
    </w:p>
    <w:p>
      <w:r>
        <w:t>Gemäss Art. 174 Abs. 2 SchKG kann die Konkurseröffnung im Be- schwerdeverfahren aufgehoben werden, wenn die Schuldnerin mit der Einlegung des Rechtsmittels durch Urkunden einen der drei gesetzlich vorgesehenen Kon-</w:t>
      </w:r>
    </w:p>
    <w:p>
      <w:r>
        <w:t>- 3 - kurshinderungsgründe (Tilgung, Hinterlegung oder Gläubigerverzicht) nachweist und ihre Zahlungsfähigkeit glaubhaft macht. Tilgung und Hinterlegung müssen einschliesslich Zinsen und Kosten erfolgt sein. Dies bedeutet praxisgemäss, dass zusätzlich zur Tilgung bzw. Hinterlegung der Konkursforderung auch die Kosten des Konkursamtes und des erstinstanzlichen Konkursgerichts beim zuständigen Konkursamt rechtzeitig sicherzustellen sind (vgl. dazu OGerZH PS110095 vom</w:t>
      </w:r>
    </w:p>
    <w:p>
      <w:r>
        <w:rPr>
          <w:b/>
        </w:rPr>
        <w:t>E. 6</w:t>
      </w:r>
    </w:p>
    <w:p>
      <w:r>
        <w:t>Durch die verspätete Tilgung hat die Schuldnerin sowohl die erst- instanzliche Konkurseröffnung als auch das Beschwerdeverfahren verursacht. Entsprechend hat sie die Kosten des Beschwerdeverfahrens, die Kosten des erst- instanzlichen Konkursgerichtes und die Kosten des Konkursamtes zu tragen. Die Gerichtsgebühr für das Beschwerdeverfahren ist mit dem geleisteten Vorschuss zu verrechnen. Der Gläubigerin ist mangels relevanter Aufwendungen im vorlie- genden Verfahren keine Prozessentschädigung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