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PS190019 vom 1. März 2019</w:t>
      </w:r>
    </w:p>
    <w:p>
      <w:r>
        <w:t>ZH Obergericht, 2019-03-01, DE</w:t>
      </w:r>
    </w:p>
    <w:p>
      <w:r>
        <w:rPr>
          <w:b/>
        </w:rPr>
        <w:t xml:space="preserve">Quelle: </w:t>
      </w:r>
      <w:r>
        <w:t>https://mcp.opencaselaw.ch/entscheid/zh_obergericht_PS190019</w:t>
      </w:r>
    </w:p>
    <w:p>
      <w:r>
        <w:t>FR: ZH_OBERGERICHT PS190019 du 1 mars 2019</w:t>
      </w:r>
    </w:p>
    <w:p>
      <w:r>
        <w:t>IT: ZH_OBERGERICHT PS190019 del 1 marzo 2019</w:t>
      </w:r>
    </w:p>
    <w:p>
      <w:pPr>
        <w:pStyle w:val="Heading2"/>
      </w:pPr>
      <w:r>
        <w:t>Erwägungen</w:t>
      </w:r>
    </w:p>
    <w:p>
      <w:r>
        <w:rPr>
          <w:b/>
        </w:rPr>
        <w:t>E. 1</w:t>
      </w:r>
    </w:p>
    <w:p>
      <w:r>
        <w:t>A._____ wird von der B._____ AG für rund Fr. 80'000.– nebst Zinsen betrieben (Betreibung Nr. … des Betreibungsamtes Küsnacht-Zollikon-Zumikon, Zahlungs- befehl vom 9. April 2018; act. 5/3). Am 4. Dezember 2018 wurde ihm die Konkur- sandrohung des Betreibungsamtes Küsnacht-Zollikon-Zumikon zugestellt (act. 2/1, act. 5/5). Mit Eingabe vom 14. Dezember 2018 erhob der Betreibungsschuldner beim Be- zirksgericht Meilen als unterer kantonaler Aufsichtsbehörde über die Betreibungs- ämter Beschwerde "bezüglich der […] Beträge auf der Konkursandrohung/Betrei- bung" (act. 1). Er legte einen Auszug aus einem Strafurteil des Bezirksgerichtes Kreuzlingen vom 30. Oktober 2017 bei, welches ihn verpflichtete, die von ihm an- erkannten Zivilforderungen der Privatkläger gemäss Anklageschrift zu begleichen, und wonach ein allfälliger "Überschuss aus dem beabsichtigten Verkauf der Lie- genschaft/Parzelle C._____/D._____" beschlagnahmt bzw. eingezogen wird und den Privatklägern zukommen soll, der Betreibungsgläubigerin im Umfang von 1,4 % (act. 2/2). Der Betreibungsschuldner beantragte dem Bezirksgericht, die Auszahlung des Überschusses, welche die "Schuldzahlung" aus der Konkursan- drohung reduzieren werde, abzuwarten. Er machte geltend, die Beurkundung des Verkaufs sei auf den 20. Dezember 2018 angesetzt. In seiner Stellungnahme zur Beschwerdeantwort der Betreibungsgläubigerin und zur Vernehmlassung des Be- treibungsamtes führte er aus, der Verkauf sei am 11. Januar 2019 erfolgt; die Ver- teilung der Mittel durch die Generalstaatsanwaltschaft Frauenfeld könne nun er- folgen; die Beträge der Konkursandrohung/Betreibung würden danach deutlich tiefer ausfallen und er werde zudem mit der Betreibungsgläubigerin über Zah- lungsbedingungen verhandeln können (act. 9).</w:t>
      </w:r>
    </w:p>
    <w:p>
      <w:r>
        <w:rPr>
          <w:b/>
        </w:rPr>
        <w:t>E. 2</w:t>
      </w:r>
    </w:p>
    <w:p>
      <w:r>
        <w:t>Das Bezirksgericht Meilen wies die Beschwerde mit Urteil vom 24. Januar 2019 ab (act. 15). Es erwog im Wesentlichen, das Einzelgericht im summarischen Ver- fahren des Bezirksgerichtes Meilen habe der Betreibungsgläubigerin mit Urteil</w:t>
      </w:r>
    </w:p>
    <w:p>
      <w:r>
        <w:t>- 3 - vom 20. Juni 2018 definitive Rechtsöffnung erteilt (vgl. act. 5/7). Der im Handels- register als Inhaber einer Einzelfirma eingetragene Beschwerdeführer unterliege der Konkursbetreibung (vgl. act. 5/6). Vor diesem Hintergrund sei die Konkursan- drohung nicht zu beanstanden (a.a.O., Erw. 3.3 und 3.4). Im Kern seiner Be- schwerde beanstande der Beschwerdeführer auch nicht die Konkursandrohung an sich, sondern mache er eine bevorstehende teilweise Tilgung der Schuld gel- tend. Wie es sich damit verhalte, brauche nicht untersucht zu werden. Eine Ver- änderung der Verhältnisse lasse die Konkursandrohung nicht nachträglich man- gelhaft werden. Entscheidend sei, dass im Zeitpunkt des Erlasses der Konkurs- androhung kein Fehler des Betreibungsamtes vorgelegen habe. Soweit der Be- schwerdeführer die Höhe der in Betreibung gesetzten Forderung rügen wolle, be- schlage dies das materielle Recht, was durch das Gericht und nicht durch die Aufsichtsbehörde zu beurteilen wäre (a.a.O., Erw. 3.5). Das Urteil wurde dem Beschwerdeführer am 4. Februar 2019 zugestellt (act. 20).</w:t>
      </w:r>
    </w:p>
    <w:p>
      <w:r>
        <w:rPr>
          <w:b/>
        </w:rPr>
        <w:t>E. 3</w:t>
      </w:r>
    </w:p>
    <w:p>
      <w:r>
        <w:t>Noch am gleichen Tag wandte sich der Beschwerdeführer an das Obergericht. Er hält fest, wie das Bezirksgericht im Entscheid vom 24. Januar 2019 richtig aus- führe, beanstande er die im Rechtsöffnungsurteil und im Zahlungsbefehl "erhobe- nen" Schuldbeträge (sowie Zuschläge). Er erhebe "gegen das Urteil des Bezirks- gerichts Meilen vom 20.6.2018 [es handelt sich um das Rechtsöffnungsurteil] Be- schwerde/Einsprache zu der im Urteil erteilten definitiven Rechtsöffnung", da die Schuldbeträge nach der bevorstehenden Auszahlung an die Betreibungsgläubige- rin deutlich tiefer ausfallen, wenn nicht überhaupt wegfallen würden. Er beantragt, "der definitiven Rechtsöffnung nicht stattzugeben", sondern stattdessen die er- wähnte Rückzahlung an die Betreibungsgläubigerin abzuwarten (act. 16).</w:t>
      </w:r>
    </w:p>
    <w:p>
      <w:r>
        <w:rPr>
          <w:b/>
        </w:rPr>
        <w:t>E. 4</w:t>
      </w:r>
    </w:p>
    <w:p>
      <w:r>
        <w:t>Das Beschwerdeverfahren vor den kantonalen SchK-Aufsichtsbehörden ist grundsätzlich kostenlos (Art. 20a Abs. 2 Ziff. 5 SchKG; Art. 61 Abs. 2 lit. a GebV SchKG); Prozessentschädigungen sind nicht zuzusprechen (Art. 62 GebV SchKG).</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