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PS190018 vom 27. März 2019</w:t>
      </w:r>
    </w:p>
    <w:p>
      <w:r>
        <w:t>ZH Obergericht, 2019-03-27, DE</w:t>
      </w:r>
    </w:p>
    <w:p>
      <w:r>
        <w:rPr>
          <w:b/>
        </w:rPr>
        <w:t xml:space="preserve">Quelle: </w:t>
      </w:r>
      <w:r>
        <w:t>https://mcp.opencaselaw.ch/entscheid/zh_obergericht_PS190018</w:t>
      </w:r>
    </w:p>
    <w:p>
      <w:r>
        <w:t>FR: ZH_OBERGERICHT PS190018 du 27 mars 2019</w:t>
      </w:r>
    </w:p>
    <w:p>
      <w:r>
        <w:t>IT: ZH_OBERGERICHT PS190018 del 27 marzo 2019</w:t>
      </w:r>
    </w:p>
    <w:p>
      <w:pPr>
        <w:pStyle w:val="Heading2"/>
      </w:pPr>
      <w:r>
        <w:t>Erwägungen</w:t>
      </w:r>
    </w:p>
    <w:p>
      <w:r>
        <w:rPr>
          <w:b/>
        </w:rPr>
        <w:t>E. 1</w:t>
      </w:r>
    </w:p>
    <w:p>
      <w:r>
        <w:t>Im Juni 2018 leitete die B._____ in Liquidation beim Betreibungsamt D._____ gegen A._____ für eine Forderung von 3,7 Mio. Franken zuzüglich 5 % Zins seit 12. November 2010 die Betreibung ein (Zahlungsbefehl vom 22. Juni 2018, Be- treibung Nr. …). Der Betreibungsschuldner erhob Rechtsvorschlag (act. 2, 6/1–6).</w:t>
      </w:r>
    </w:p>
    <w:p>
      <w:r>
        <w:rPr>
          <w:b/>
        </w:rPr>
        <w:t>E. 2</w:t>
      </w:r>
    </w:p>
    <w:p>
      <w:r>
        <w:t>Mit Eingabe an das Bezirksgericht Dielsdorf als untere kantonale Aufsichtsbe- hörde über die Betreibungsämter vom 5. Juli 2018 erhob der Betreibungsschuld- ner Beschwerde wegen "rechtsmissbräuchlicher Betreibung". Er beantragte zur Hauptsache, der Eintrag im Betreibungsregisterauszug sei zu löschen (act. 1). Das Bezirksgericht wies die Beschwerde mit Urteil vom 8. Januar 2019 ab. Es verneinte einen "offenbaren Rechtsmissbrauch" (act. 15 Erw. 12 S. 14 unten).</w:t>
      </w:r>
    </w:p>
    <w:p>
      <w:r>
        <w:rPr>
          <w:b/>
        </w:rPr>
        <w:t>E. 3</w:t>
      </w:r>
    </w:p>
    <w:p>
      <w:r>
        <w:t>Festzuhalten ist dennoch, dass sich die Vorinstanz mit den Voraussetzungen der Rechtsmissbräuchlichkeit bzw. Nichtigkeit der Betreibung sorgfältig auseinan- dergesetzt hat (act. 15 Erw. 10–12 S. 7–13). Die Kammer hätte an ihrer Stelle nicht anders entschieden. Der Beschwerdeführer ist schliesslich auf die Möglich- keit eines Gesuchs um Nichtbekanntgabe der Betreibung an Dritte gemäss dem am 1. Januar 2019 in Kraft getretenen Art. 8a Abs. 3 lit. d SchKG hinzuweisen – dafür müsste die Beschwerdegegnerin ab Zustellung des Zahlungsbefehls drei Monate untätig geblieben sein.</w:t>
      </w:r>
    </w:p>
    <w:p>
      <w:r>
        <w:t>- 4 -</w:t>
      </w:r>
    </w:p>
    <w:p>
      <w:r>
        <w:rPr>
          <w:b/>
        </w:rPr>
        <w:t>E. 4</w:t>
      </w:r>
    </w:p>
    <w:p>
      <w:r>
        <w:t>Das Beschwerdeverfahren vor den kantonalen SchK-Aufsichtsbehörden ist grundsätzlich kostenlos (Art. 20a Abs. 2 Ziff. 5 SchKG; Art. 61 Abs. 2 lit. a GebV SchKG); Parteientschädigungen sind nicht zuzusprechen (Art. 62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