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PS190004 vom 22. Januar 2019</w:t>
      </w:r>
    </w:p>
    <w:p>
      <w:r>
        <w:t>ZH Obergericht, 2019-01-22, DE</w:t>
      </w:r>
    </w:p>
    <w:p>
      <w:r>
        <w:rPr>
          <w:b/>
        </w:rPr>
        <w:t xml:space="preserve">Quelle: </w:t>
      </w:r>
      <w:r>
        <w:t>https://mcp.opencaselaw.ch/entscheid/zh_obergericht_PS190004</w:t>
      </w:r>
    </w:p>
    <w:p>
      <w:r>
        <w:t>FR: ZH_OBERGERICHT PS190004 du 22 janvier 2019</w:t>
      </w:r>
    </w:p>
    <w:p>
      <w:r>
        <w:t>IT: ZH_OBERGERICHT PS190004 del 22 gennaio 2019</w:t>
      </w:r>
    </w:p>
    <w:p>
      <w:pPr>
        <w:pStyle w:val="Heading2"/>
      </w:pPr>
      <w:r>
        <w:t>Erwägungen</w:t>
      </w:r>
    </w:p>
    <w:p>
      <w:r>
        <w:rPr>
          <w:b/>
        </w:rPr>
        <w:t>E. 10</w:t>
      </w:r>
    </w:p>
    <w:p>
      <w:r>
        <w:t>Tagen mit Beschwerde nach der ZPO angefochten werden (vgl. Art. 174</w:t>
      </w:r>
    </w:p>
    <w:p>
      <w:r>
        <w:t>- 3 - Abs. 1 SchKG). Die Rechtsmittelinstanz kann die Konkurseröffnung aufheben, wenn der Schuldner seine Zahlungsfähigkeit glaubhaft macht und durch Urkun- den beweist, dass inzwischen die Schuld getilgt ist (Tilgung), der geschuldete Be- trag beim oberen Gericht zuhanden des Gläubigers hinterlegt ist (Hinterlegung) oder der Gläubiger auf die Durchführung des Konkurses verzichtet hat (vgl. Art. 174 Abs. 2 SchKG). Der Konkursaufhebungsgrund der Tilgung entspricht Art. 172 Ziff. 3 SchKG. Danach ist die Schuld samt Zinsen und Kosten zu tilgen. Zu Letzteren gehören zwar grundsätzlich sämtliche Betreibungskosten einschliesslich der Kosten des Konkursgerichtes und des Konkursamtes etc. (vgl. BSK SchKG II-GIROUD, 2. Aufl. 2010, Art. 174 N 21 i.V.m. Art. 172 N 11; BGE 133 III 687 ff., E. 2.3 [Kos- ten des Konkursgerichtes]). Wenn einzig die Kosten des Konkursgerichtes und des Konkursamtes nicht vor der Konkurseröffnung, sondern erst nach der Kon- kurseröffnung, aber noch vor Ablauf der Beschwerdefrist sichergestellt werden (vgl. nachfolgend E. 2.4), ist dennoch von einer Tilgung vor Konkurseröffnung auszugehen und die Schuldnerin auch diesfalls praxisgemäss vom Glaubhaftma- chen ihrer Zahlungsfähigkeit in der Beschwerde befreit (vgl. statt vieler OGer ZH PS180008/Z01 vom 19. Januar 2018, E. 3 und 4; OGer ZH PS110095 vom 6. Juli 2011, E. 2.3 = ZR 110/2011 Nr. 79). 2.2 Die Schuldnerin macht geltend, der Gläubigerin bereits vor der Konkurser- öffnung am 3. Dezember 2018 Fr. 800.–, am 13. Dezember 2018 Fr. 500.–, am 28. Dezember 2018 Fr. 30'000.– und am 31. Dezember 2018 Fr. 500.– bezahlt zu haben. Am 8. Januar 2019 habe sie der Gläubigerin sodann weitere Fr. 23'500.– überwiesen und ihr somit insgesamt Fr. 55'300.– bezahlt (vgl. act. 2 Rz. 9 i.V.m. act. 5/9-13). Die letzte Teilzahlung über Fr. 23'500.– sei von der Zürcher Kanto- nalbank am 8. Januar 2019 um 9:26 Uhr verbucht und um 9:27:33 Uhr an die SIX Swiss Exchange AG weitergeleitet worden (vgl. act. 2 Rz. 9 i.V.m. act. 5/15). Da ihrerseits niemand an der Konkursverhandlung teilgenommen habe, habe das Konkursgericht nicht wissen können, dass die letzte Teilzahlung bereits erfolgt gewesen sei (vgl. act. 2 Rz. 11). Die Gläubigerin habe ihr am 11. Januar 2019 be- stätigt, dass ihre Forderung bezahlt sei. Das Betreibungskonto weise einen Saldo</w:t>
      </w:r>
    </w:p>
    <w:p>
      <w:r>
        <w:t>- 4 - von Fr. 14.73 zugunsten der Schuldnerin auf (vgl. act. 2 Rz. 9 i.V.m. act. 5/14). Zum Nachweis reicht sie zahlreiche Belege ein (vgl. act. 5/9-15). 2.3 Die letzte Teilzahlung der Schuldnerin über Fr. 23'500.– erfolgte ebenfalls noch (wenn auch knapp) vor der Konkurseröffnung. Somit sind aufgrund der ein- gereichten Belege Zahlungen der Schuldnerin an die Gläubigerin vor Konkurser- öffnung in der Höhe von insgesamt Fr. 55'300.– belegt. Daher ist von der Tilgung der Konkursforderung samt Zinsen und Betrei- bungskosten vor der Konkurseröffnung auszugehen. 2.4 Weiter ist aus den eingereichten Unterlagen ersichtlich, dass die Schuld- nerin nach der Konkurseröffnung am 9. Januar 2019 Fr. 500.– für die Gerichts- kosten des Konkursgerichtes bei der Bezirksgerichtskasse Pfäffikon einzahlte (vgl. act. 5/18) und gemäss Bescheinigung des Konkursamtes Illnau vom 15. Ja- nuar 2019 bei diesem einen Betrag von Fr. 2'800.– sicherstellte, der ausreiche, um im Fall einer Gutheissung der Beschwerde die Kosten des Konkursverfahrens einschliesslich jener des Konkursgerichtes zu decken (vgl. act. 10). Die Kosten des Konkursamtes und des erstinstanzlichen Konkursgerichts wurden somit noch vor Ablauf der Beschwerdefrist sichergestellt. Die Schuldnerin ist daher praxisgemäss vom Glaubhaftmachen ihrer Zahlungsfähigkeit in der Be- schwerde befreit, weshalb auch von einer entsprechenden Prüfung abzusehen ist. 2.5 Somit sind die Voraussetzungen für die Aufhebung des Konkurses erfüllt. Die Beschwerde ist gutzuheissen, das Urteil des Konkursgerichtes des Bezirksge- richtes Pfäffikon vom 8. Januar 2019, mit dem über die Schuldnerin der Konkurs eröffnet wurde, aufzuheben und das Konkursbegehren abzuweisen. 3. Die Kosten beider Instanzen sind der Schuldnerin aufzuerlegen. Sie hat die Verfahren dadurch veranlasst, dass sie dem Konkursgericht die Tilgung der in Be- treibung gesetzten Forderung nicht nachwies und auch die Kosten des Konkurs- gerichtes sowie des Konkursamtes nicht rechtzeitig vor der Konkursverhandlung sicherstellte. Die Schuldnerin hat die von der Gläubigerin bezogene erstinstanzli- che Spruchgebühr von Fr. 500.– (nach der Konkurseröffnung) jedoch an die Be-</w:t>
      </w:r>
    </w:p>
    <w:p>
      <w:r>
        <w:t>- 5 - zirksgerichtskasse Pfäffikon bezahlt; dies ist vorzumerken. Die zweitinstanzliche Spruchgebühr ist mit dem von der Schuldnerin geleisteten Kostenvorschuss zu verrechnen (vgl. Art. 111 Abs. 1 ZPO). Anzumerken bleibt, dass das Konkursgericht den von der Gläubigerin geleis- teten Barvorschuss von Fr. 1'800.– vollumfänglich dem Konkursamt überwies, da zur Deckung der erstinstanzlichen Spruchgebühr die von der Schuldnerin bezahl- te Gebühr von Fr. 500.– herangezogen wurden (vgl. act. 14). Dies ist bei der An- weisung des Konkursamtes entsprechend zu berücksichtigen. Der Gläubigerin ist mangels relevanter Aufwendungen im vorliegenden Ver- fahren keine Parteientschädigung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