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PS180211 vom 8. November 2018</w:t>
      </w:r>
    </w:p>
    <w:p>
      <w:r>
        <w:t>ZH Obergericht, 2018-11-08, DE</w:t>
      </w:r>
    </w:p>
    <w:p>
      <w:r>
        <w:rPr>
          <w:b/>
        </w:rPr>
        <w:t xml:space="preserve">Quelle: </w:t>
      </w:r>
      <w:r>
        <w:t>https://mcp.opencaselaw.ch/entscheid/zh_obergericht_PS180211</w:t>
      </w:r>
    </w:p>
    <w:p>
      <w:r>
        <w:t>FR: ZH_OBERGERICHT PS180211 du 8 novembre 2018</w:t>
      </w:r>
    </w:p>
    <w:p>
      <w:r>
        <w:t>IT: ZH_OBERGERICHT PS180211 del 8 novembre 2018</w:t>
      </w:r>
    </w:p>
    <w:p>
      <w:pPr>
        <w:pStyle w:val="Heading2"/>
      </w:pPr>
      <w:r>
        <w:t>Erwägungen</w:t>
      </w:r>
    </w:p>
    <w:p>
      <w:r>
        <w:rPr>
          <w:b/>
        </w:rPr>
        <w:t>E. 1</w:t>
      </w:r>
    </w:p>
    <w:p>
      <w:r>
        <w:t>Gestützt auf das Konkursbegehren der B._____ AG (Gläubigerin und Be- schwerdegegnerin) vom 10. September 2018 (act. 8/1) eröffnete das Kon- kursgericht des Bezirksgerichtes Uster mit Urteil vom 9. Oktober 2018 für ei- ne Forderung von insgesamt Fr. 3'968.80 (Forderung Fr. 3'683.55 zuzüglich Zins 5 % seit 24.05.2018 Fr. 69.65, Gläubigerkosten Fr. 50.– und Betrei- bungskosten Fr. 165.60) über die A._____ AG (Schuldnerin und Beschwer- deführerin) den Konkurs (act. 7). Das Urteil wurde der Schuldnerin am 15. Oktober 2018 zugestellt (act. 8/10). Mit Eingabe vom 25. Oktober 2018 (Poststempel) erhob sie rechtzeitig Beschwerde und beantragte (act. 2 S. 2): "1. Der mit Urteil des Konkursgerichts Uster vom 9. Oktober 2018 (Ge- schäfts-Nr. EK180386-l) über die Beschwerdeführerin eröffnete Konkurs sei in Gutheissung der Beschwerde aufzuheben.</w:t>
      </w:r>
    </w:p>
    <w:p>
      <w:r>
        <w:rPr>
          <w:b/>
        </w:rPr>
        <w:t>E. 2</w:t>
      </w:r>
    </w:p>
    <w:p>
      <w:r>
        <w:t>Eventualiter seien die Konkursakten von Amtes wegen an das Nachlass- gericht zur Prüfung von Sanierungsaussichten zu überweisen und der Be- schwerdeentscheid während dieser Dauer auszusetzen (Art. 173a Abs. 2 SchKG).</w:t>
      </w:r>
    </w:p>
    <w:p>
      <w:r>
        <w:rPr>
          <w:b/>
        </w:rPr>
        <w:t>E. 3</w:t>
      </w:r>
    </w:p>
    <w:p>
      <w:r>
        <w:t>Der erstinstanzliche Entscheid über die Konkurseröffnung kann innert 10 Tagen mit Beschwerde nach der ZPO angefochten werden. Im Be- schwerdeverfahren können Tatsachen neu geltend gemacht werden, die sich vor dem erstinstanzlichen, angefochtenen Entscheid ereignet haben (Art. 174 Abs. 1 SchKG; das in Abweichung des sonst geltenden Ausschlus- ses aller neuen Behauptungen gemäss Art. 326 ZPO). Dazu gehört insbe- sondere, dass die Forderung des Gläubigers schon vor der Konkurseröff- nung nebst Zinsen und Kosten bezahlt wurde, was nach Art. 172 Ziff. 3 SchKG zur Abweisung des Konkursbegehrens geführt hätte, wenn es dem Konkursgericht bekannt gewesen wäre. Hat sich der Konkursaufhebungs- grund (insbesondere die Tilgung der Konkursforderung) vor der Konkurser- öffnung verwirklicht, so wird von der Prüfung der Zahlungsfähigkeit im Sinne von Art. 174 Abs. 2 SchKG abgesehen (vgl. OGer ZH PS140043 vom</w:t>
      </w:r>
    </w:p>
    <w:p>
      <w:r>
        <w:rPr>
          <w:b/>
        </w:rPr>
        <w:t>E. 7</w:t>
      </w:r>
    </w:p>
    <w:p>
      <w:r>
        <w:t>Die Kosten beider Instanzen hat die Schuldnerin zu tragen, da sie zum einen durch die nicht rechtzeitige Zahlung der Konkursforderung das Verfahren veranlasst, und es zum anderen ebenfalls unterlassen hat, die Vorinstanz über das Vorliegen eines Konkurshinderungsgrundes in Kenntnis zu setzen. Demzufolge ist der Schuldnerin auch keine Entschädigung zuzusprechen. Eine Entschädigung an die Beschwerdegegnerin entfällt, weil ihr im vorlie- genden Verfahren keine Umtriebe entstanden sind, die abzugelten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