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PS180196 vom 11. Oktober 2018</w:t>
      </w:r>
    </w:p>
    <w:p>
      <w:r>
        <w:t>ZH Obergericht, 2018-10-11, DE</w:t>
      </w:r>
    </w:p>
    <w:p>
      <w:r>
        <w:rPr>
          <w:b/>
        </w:rPr>
        <w:t xml:space="preserve">Quelle: </w:t>
      </w:r>
      <w:r>
        <w:t>https://mcp.opencaselaw.ch/entscheid/zh_obergericht_PS180196</w:t>
      </w:r>
    </w:p>
    <w:p>
      <w:r>
        <w:t>FR: ZH_OBERGERICHT PS180196 du 11 octobre 2018</w:t>
      </w:r>
    </w:p>
    <w:p>
      <w:r>
        <w:t>IT: ZH_OBERGERICHT PS180196 del 11 ottobre 2018</w:t>
      </w:r>
    </w:p>
    <w:p>
      <w:pPr>
        <w:pStyle w:val="Heading2"/>
      </w:pPr>
      <w:r>
        <w:t>Erwägungen</w:t>
      </w:r>
    </w:p>
    <w:p>
      <w:r>
        <w:rPr>
          <w:b/>
        </w:rPr>
        <w:t>E. 18</w:t>
      </w:r>
    </w:p>
    <w:p>
      <w:r>
        <w:t>September 2018 beglichen zu haben, was sie vor Vorinstanz nicht vorge- bracht hatte (act. 2). Mit Verfügung vom 8. Oktober 2018 wurde der Beschwerde einstweilen aufschie- bende Wirkung zuerkannt (act. 8). Die Kosten des obergerichtlichen Verfahrens hat die Schuldnerin aufforderungs- gemäss mit Fr. 750.– bevorschusst (act. 8 und 10). Die erstinstanzlichen Akten wurden beigezogen (act. 6). II. 1. Was die Zulässigkeit neuer Tatsachenbehauptungen und Beweismittel betrifft, weicht das SchKG im Verfahren der Beschwerde gegen das Konkurserkenntnis von der allgemeinen zivilprozessualen Regel ab (Art. 174 Abs. 1 und 2 SchKG; vgl. Art. 326 ZPO). Neue Tatsachen, die vor dem erstinstanzlichen Entscheid ein- getreten sind, können mit der Beschwerdeschrift ohne Einschränkung geltend gemacht werden. Bestimmte im Gesetz vorgesehene Tatsachen, die sich nach dem erstinstanzlichen Entscheid ereignet haben, können geltend gemacht wer- den, wenn der Schuldner gleichzeitig seine Zahlungsfähigkeit glaubhaft macht (sog. Konkursaufhebungsgründe: Tilgung, Hinterlegung, Gläubigerverzicht). 2. Die Schuldnerin legt mit der Beschwerde neu eine Abrechnung des Betrei- bungsamtes Rümlang-Oberglatt, zwei Buchungsanzeigen der Zürcher Kantonal-</w:t>
      </w:r>
    </w:p>
    <w:p>
      <w:r>
        <w:t>- 3 - bank und einen Betreibungsregisterauszug vor, wonach sie die Konkursforderung einschliesslich Zins und Betreibungskosten vor der Konkurseröffnung beim Be- treibungsamt getilgt hat (act. 4/1, 4/2, 4/4 und 4/6; vgl. Art. 12 SchKG). Mit einem Beleg der Zürcher Kantonalbank weist sie nach, dass sie ebenfalls vor der Kon- kurseröffnung beim Bezirksgericht Dielsdorf dessen Kosten sichergestellt hat (act. 4/3; vgl. act. 5 Disp. 3). Das Konkursamt Niederglatt bestätigt sodann, dass die Schuldnerin am 5. Oktober 2018 einen Kostenvorschuss von Fr. 300.– geleis- tet hat, der im Fall einer Gutheissung der Beschwerde die Kosten des Kon- kursamtes deckt (act. 4/5). 3. Damit ist erstellt, dass die Schuldnerin ihre Schuld, Zinsen und Kosten inbegrif- fen, vor dem erstinstanzlichen Entscheid getilgt hat, so dass, hätte sie den Beweis dafür schon vor Vorinstanz erbracht, das Konkursbegehren gemäss Art. 172 Ziff. 3 SchKG abzuweisen gewesen wäre. Die beim Konkursamt seit der Kon- kurseröffnung angefallenen und allenfalls noch anfallenden Kosten hat die Schuldnerin während der Rechtsmittelfrist beim Konkursamt sichergestellt. Die Beschwerde ist deshalb, ohne dass im Sinne von Art. 174 Abs. 2 SchKG die Zah- lungsfähigkeit der Schuldnerin zu prüfen wäre, gutzuheissen. Das angefochtene Urteil ist aufzuheben und das Konkursbegehren ist abzuweisen. 4. Die Kosten beider Instanzen sind der Schuldnerin aufzuerlegen. Sie hat sowohl das erstinstanzliche als auch das zweitinstanzliche Verfahren veranlasst: das erstinstanzliche Verfahren, weil sie ihre Schuld erst tilgte, nachdem die Gläubige- rin das Konkursbegehren gestellt hatte, das Beschwerdeverfahren, weil sie es un- terliess, dem Konkursgericht ihre Zahlung nachzuweisen.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