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PS180189 vom 8. November 2018</w:t>
      </w:r>
    </w:p>
    <w:p>
      <w:r>
        <w:t>ZH Obergericht, 2018-11-08, DE</w:t>
      </w:r>
    </w:p>
    <w:p>
      <w:r>
        <w:rPr>
          <w:b/>
        </w:rPr>
        <w:t xml:space="preserve">Quelle: </w:t>
      </w:r>
      <w:r>
        <w:t>https://mcp.opencaselaw.ch/entscheid/zh_obergericht_PS180189</w:t>
      </w:r>
    </w:p>
    <w:p>
      <w:r>
        <w:t>FR: ZH_OBERGERICHT PS180189 du 8 novembre 2018</w:t>
      </w:r>
    </w:p>
    <w:p>
      <w:r>
        <w:t>IT: ZH_OBERGERICHT PS180189 del 8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Sachverhalt / Prozessgeschichte</w:t>
      </w:r>
    </w:p>
    <w:p>
      <w:r>
        <w:rPr>
          <w:b/>
        </w:rPr>
        <w:t>E. 1.1</w:t>
      </w:r>
    </w:p>
    <w:p>
      <w:r>
        <w:t>Das auf die Beschwerdegegnerin lautende Mietzinskautionskonto IBAN … bei der C._____ AG [Bank], … [Adresse] (CHE-…).</w:t>
      </w:r>
    </w:p>
    <w:p>
      <w:r>
        <w:rPr>
          <w:b/>
        </w:rPr>
        <w:t>E. 1.2</w:t>
      </w:r>
    </w:p>
    <w:p>
      <w:r>
        <w:t>Alle Guthaben der Arrestschuldnerin gegenüber der D._____ GmbH, … [Adresse] (CHE-…).</w:t>
      </w:r>
    </w:p>
    <w:p>
      <w:r>
        <w:rPr>
          <w:b/>
        </w:rPr>
        <w:t>E. 1.3</w:t>
      </w:r>
    </w:p>
    <w:p>
      <w:r>
        <w:t>Alle Guthaben der Arrestschuldnerin gegenüber der E._____ GmbH, … [Adresse] (CHE-…), insbesondere aber die Kaufpreis- forderung infolge des Vertrags zur Übertragung des Mietvertrages des Restaurantlokals F._____ sowie Verkaufs des zugehörigen Inventars vom 23. Juni 2018 in der Höhe von Fr. 170'000.–.</w:t>
      </w:r>
    </w:p>
    <w:p>
      <w:r>
        <w:rPr>
          <w:b/>
        </w:rPr>
        <w:t>E. 1.4</w:t>
      </w:r>
    </w:p>
    <w:p>
      <w:r>
        <w:t>Das Gesellschaftskonto der Arrestschuldnerin IBAN … bei der G._____ [Bank], … [Adresse] (CHE-…).</w:t>
      </w:r>
    </w:p>
    <w:p>
      <w:r>
        <w:rPr>
          <w:b/>
        </w:rPr>
        <w:t>E. 2</w:t>
      </w:r>
    </w:p>
    <w:p>
      <w:r>
        <w:t>Es sei das zuständige Betreibungsamt anzuweisen, den Arrest gemäss Ziff. 1 zu vollziehen.</w:t>
      </w:r>
    </w:p>
    <w:p>
      <w:r>
        <w:rPr>
          <w:b/>
        </w:rPr>
        <w:t>E. 3</w:t>
      </w:r>
    </w:p>
    <w:p>
      <w:r>
        <w:t>Eventualiter zu Rechtsbegehren 1-2 seien die Dispositivziffern 1-2 des Entscheids des Einzelgerichts (Audienz) am Bezirksgericht Zürich vom 7. September 2018 (EQ180157-L/U) aufzuheben und die Sache zur Neubeurteilung an das Bezirksgericht Zürich zu- rückzuweisen.</w:t>
      </w:r>
    </w:p>
    <w:p>
      <w:r>
        <w:rPr>
          <w:b/>
        </w:rPr>
        <w:t>E. 4</w:t>
      </w:r>
    </w:p>
    <w:p>
      <w:r>
        <w:t>Alles unter Kosten- und Entschädigungsfolgen und zusätzlich Mehrwertsteuerzusatz zulasten der Beschwerdegegnerin, even- tualiter zu Lasten der Staatskasse. Prozessuale Anträge: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