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PS180184 vom 18. Oktober 2018</w:t>
      </w:r>
    </w:p>
    <w:p>
      <w:r>
        <w:t>ZH Obergericht, 2018-10-18, DE</w:t>
      </w:r>
    </w:p>
    <w:p>
      <w:r>
        <w:rPr>
          <w:b/>
        </w:rPr>
        <w:t xml:space="preserve">Quelle: </w:t>
      </w:r>
      <w:r>
        <w:t>https://mcp.opencaselaw.ch/entscheid/zh_obergericht_PS180184</w:t>
      </w:r>
    </w:p>
    <w:p>
      <w:r>
        <w:t>FR: ZH_OBERGERICHT PS180184 du 18 octobre 2018</w:t>
      </w:r>
    </w:p>
    <w:p>
      <w:r>
        <w:t>IT: ZH_OBERGERICHT PS180184 del 18 ottobre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FOLGERUNG In teilweiser Gutheissung der Beschwerde ist der Gesuchstellerin der Arrest auch so weit zu bewilligen, als er auf allfällige Vermögenswerte der D._____ Limited oder der E._____ Limited bei der C._____ AG und/oder der C._____ Switzerland AG abzielt. Nicht zu bewilligen ist der Arrest bezüglich Vermögenswerten, die auf den Namen "einer anderen Gesellschaft lauten, an welcher der Gesuchsgegner sich als wirt- schaftlich Berechtigter erweist". Weder ist es Sache der Vollzugsbehörde, nach Arrestsubstrat zu suchen, noch rechtfertigt allein die wirtschaftliche Berechtigung einen Durchgriff. V. KOSTEN Bei einem 1 Mio. Franken übersteigenden Streitwert beträgt die Spruchgebühr für einen (erstinstanzlichen) gerichtlichen Entscheid in betreibungsrechtlichen Sum- marsachen Fr. 120.– bis Fr. 2'000.– (Art. 48 GebV SchKG). Im Arrestbewilligungsverfahren sind die Kosten, weil der Gesuchsgegner am Ver- fahren nicht beteiligt ist, unabhängig vom Verfahrensausgang von der Gesuch- stellerin als Verursacherin des Verfahrens zu beziehen. Sie ist berechtigt, die Kosten aus einem allfälligen Erlös der Arrestgegenstände vorwegzunehmen (Art. 281 Abs. 2 SchKG). Die Vorinstanz hat die Spruchgebühr für ihren Arrestbefehl auf Fr. 2'000.– festge- setzt und den Bezug bei der Gesuchstellerin angeordnet. Hätte sie den Durchgriff bewilligt, wäre die Gebühr nicht höher ausgefallen. Die von der Vorinstanz festge- setzte Gebühr deckt auch den ergänzenden obergerichtlichen Arrestbefehl. Für das Rechtsmittelverfahren ist keine zusätzliche Gebühr zu erheben.</w:t>
      </w:r>
    </w:p>
    <w:p>
      <w:r>
        <w:t>- 16 - Zur Leistung einer Parteientschädigung an die Gesuchstellerin kann der nicht in das Verfahren einbezogene Gesuchsgegner nicht verpflichtet werden. Aus der Staatskasse spricht die Kammer einer Partei im Rechtsmittelverfahren al- lenfalls dann eine Parteientschädigung zu, wenn eine formelle Gegenpartei fehlt (bzw. sich mit dem fehlerhaften Entscheid nicht identifiziert) und sich der ange- fochtene Entscheid zudem als qualifiziert unrichtig erweist (vgl. OGer PQ140037 vom 28. Juli 2014, Erw. 3.1). Letztere Voraussetzung ist nicht erfüllt. Es sind des- halb keine Parteientschädigungen zuzusprechen. Der Antrag, der Beschwerde – gemeint: hinsichtlich des vorinstanzlichen Kosten- entscheides – aufschiebende Wirkung zu gewähren (act. 9 S. 2 und Rz. 82), wird mit diesem Entscheid gegenstandslos.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