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PS180167 vom 18. September 2018</w:t>
      </w:r>
    </w:p>
    <w:p>
      <w:r>
        <w:t>ZH Obergericht, 2018-09-18, DE</w:t>
      </w:r>
    </w:p>
    <w:p>
      <w:r>
        <w:rPr>
          <w:b/>
        </w:rPr>
        <w:t xml:space="preserve">Quelle: </w:t>
      </w:r>
      <w:r>
        <w:t>https://mcp.opencaselaw.ch/entscheid/zh_obergericht_PS180167</w:t>
      </w:r>
    </w:p>
    <w:p>
      <w:r>
        <w:t>FR: ZH_OBERGERICHT PS180167 du 18 septembre 2018</w:t>
      </w:r>
    </w:p>
    <w:p>
      <w:r>
        <w:t>IT: ZH_OBERGERICHT PS180167 del 18 settembre 2018</w:t>
      </w:r>
    </w:p>
    <w:p>
      <w:pPr>
        <w:pStyle w:val="Heading2"/>
      </w:pPr>
      <w:r>
        <w:t>Erwägungen</w:t>
      </w:r>
    </w:p>
    <w:p>
      <w:r>
        <w:rPr>
          <w:b/>
        </w:rPr>
        <w:t>E. 1</w:t>
      </w:r>
    </w:p>
    <w:p>
      <w:r>
        <w:t>Das Konkursgericht des Bezirksgerichtes Zürich eröffnete mit Urteil vom 22. August 2018 über die Beschwerdeführerin den Konkurs (act. 3). Dagegen er- hob die Beschwerdeführerin mit Eingabe vom 3. September 2018 rechtzeitig Be- schwerde, beantragte die Aufhebung des Konkurses zufolge Tilgung und stellte ein Gesuch um Erteilung der aufschiebenden Wirkung (act. 2). Diesem Gesuch wurde mit Verfügung vom 4. September 2018 entsprochen. Gleichzeitig wurde der Beschwerdeführerin Frist zur Leistung eines Kostenvorschusses für das Be- schwerdeverfahren angesetzt (act. 10). Dieser wurde innert Frist geleistet (act. 5/32 und act. 12). Zudem hinterlegte die Beschwerdeführerin mit Zahlung vom 3. September 2018 bei der Obergerichtskasse Fr. 6'723.50 (act. 5/21 und act. 13).</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vorbringen, wenn sie nach dem erstinstanzlichen Entscheid ergangen sind. Nach- fristen sind hingegen keine zu gewähren (vgl. dazu BGE 136 III 294).</w:t>
      </w:r>
    </w:p>
    <w:p>
      <w:r>
        <w:rPr>
          <w:b/>
        </w:rPr>
        <w:t>E. 3</w:t>
      </w:r>
    </w:p>
    <w:p>
      <w:r>
        <w:t>Die Beschwerdeführerin hat der Kammer mit der Beschwerde einen Zah- lungsbeleg eingereicht, aus welchem ersichtlich ist, dass sie der Beschwerdegeg- nerin am 29. August 2018 Fr. 4'428.-- überwiesen hat (act. 5/20). Mit dieser Zah- lung ist die der Konkurseröffnung zu Grunde liegende Forderung einschliesslich Zinsen und Betreibungskosten gedeckt. Zudem hat die Beschwerdeführerin eine</w:t>
      </w:r>
    </w:p>
    <w:p>
      <w:r>
        <w:t>- 3 - Bestätigung des Konkursamtes Riesbach-Zürich vom 24. August 2018 vorgelegt, wonach sie zur Deckung der Kosten des Konkursamtes und des Konkursgerich- tes im Falle der Konkursaufhebung einen Kostenvorschuss von Fr. 800.-- geleis- tet hat (act. 5/22 und act. 9). Damit hat die Beschwerdeführerin den Konkursauf- hebungsgrund der Tilgung im Sinne von Art. 174 Abs. 2 Ziff. 1 SchKG durch Ur- kunden nachgewiesen. 4.1.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In diesem Bereich dürfen keine zu strengen Anforderungen gestellt werden, insbe- sondere wenn die wirtschaftliche Lebensfähigkeit des schuldnerischen Unterneh- mens nicht von vornherein ausgeschlossen werden kann. Es genügt, wenn die Zahlungsfähigkeit wahrscheinlicher ist als die Zahlungsunfähigkeit. Zahlungsfä- higkeit bedeutet, dass ausreichende liquide Mittel vorhanden sind, mit denen die Gläubiger bei Fälligkeit ihrer Forderungen befriedigt werden können. Der Schuld- ner hat also aufzuzeigen, dass er in der Lage ist, seinen laufenden Verbindlichkei- ten nachzukommen sowie die bestehenden Schulden abzutragen. Grundsätzlich als zahlungsunfähig erweist sich ein Schuldner, der beispielsweise Konkursan- drohungen anhäufen lässt, systematisch Rechtsvorschlag erhebt und selbst klei- nere Beträge nicht bezahlt. Bloss vorübergehende Zahlungsschwierigkeiten las- sen den Schuldner noch nicht als zahlungsunfähig erscheinen, ausser wenn keine wesentlichen Anhaltspunkte für eine Verbesserung seiner finanziellen Situation zu erkennen sind und er auf unabsehbare Zeit als illiquid erscheint (BGer, 5A_297/2012 vom 10. Juli 2012, E. 2.3; BGer, 5A_115/2012 vom 20. April 2012, E. 3; BGer, 5A_118/2012 vom 20. April 2012, E. 3.1; 5A_328/2011 vom 11. August 2011, E. 2). 4.2. Wesentlichen Aufschluss über das Zahlungsverhalten und die finanzielle Lage eines Schuldners vermittelt insbesondere das Betreibungsregister. Die von der Beschwerdeführerin eingereichten früheren Betreibungsregisterauszüge der Betreibungsämter Dübendorf und Dietikon weisen für die Zeit seit der Gründung</w:t>
      </w:r>
    </w:p>
    <w:p>
      <w:r>
        <w:t>- 4 - der Beschwerdeführerin bis zum 11. Januar 2016 keine Verlustscheine und keine Betreibungen aus (act. 5/18 und act. 5/19). Der aktuelle Betreibungsregisteraus- zug des Betreibungsamtes Zürich 8 (act. 5/17) weist per 23. August 2018 eben- falls keine Verlustscheine, aber 31 Betreibungen im Gesamtbetrag von Fr. 34'484.15 aus, wovon acht Betreibungen über Fr. 5'628.05 allerdings bereits erloschen und 13 Betreibungen über Fr. 17'607.15 durch Bezahlung an das Be- treibungsamt erledigt worden sind. Demnach bestehen abzüglich der hinterlegten Konkursforderung (im Registerauszug mit Fr. 4'135.45 vermerkt) derzeit noch 9 offene Betreibungen im Betrag von Fr. 7'113.50. Dabei handelt es sich um eine Betreibung im Betrag von Fr. 1'113.--, bei welcher die Konkursandrohung zuge- stellt wurde, um vier Betreibungen im Gesamtbetrag von Fr. 4'125.65, bei wel- chen eine Pfändung läuft, um eine Betreibung im Betrag von Fr. 390.--, bei wel- cher Rechtsvorschlag erhoben wurde, und um drei Betreibungen im Gesamtbe- trag von Fr. 1'484.85, bei welchen der Zahlungsbefehl zugestellt wurde. Hinzu kommen gemäss Kreditorenliste vom 28. August 2018 offene Rechnungen in Hö- he von Fr. 11'500.60 (act. 5/11). 4.3. Die Beschwerdeführerin ist als GmbH im Handelsregister des Kantons Zü- rich eingetragen und bezweckt Umzüge, Transporte, Umzugs-, Bau-, Fassaden-, Fenster- und Storenreinigungen, Lagerungen, Räumungen und Entsorgungen von Waren aller Art, den Betrieb eines Handwerkerunternehmens, insbesondere zur Ausführung sämtlicher Bodenbelagarbeiten und Bauarbeiten sowie Handel mit und Transport bzw. Import und Export von Konsumgütern (act. 6). Zu den obge- nannten Schulden gibt die Beschwerdeführerin an, bei der Forderung des C._____ (Betreibung Nr. 1) über Fr. 390.-- handle es sich um einen Jahresbeitrag für einen Fonds für Malerbetriebe, welche sie mit Rechtsvorschlag bestritten ha- be. Die Gläubigerin sei irrtümlich davon ausgegangen, dass sie eine Malerfirma sei, was zwischenzeitlich aber habe geklärt werden können (act. 2 S. 8 f.). Das erscheint glaubhaft, zumal die Betreibung bereits im April 2017 eingeleitet worden war und der Rechtsvorschlag bis heute nicht beseitigt wurde. Hingegen bestreitet die Beschwerdeführerin die restlichen gegen sie in Betreibung gesetzten Forde- rungen in Höhe von gesamthaft Fr. 6'723.50 nicht, belegt indes die Hinterlegung des Betrages am 3. September 2018 bei der Obergerichtskasse (act. 2 S. 9 und</w:t>
      </w:r>
    </w:p>
    <w:p>
      <w:r>
        <w:t>- 5 - act. 5/21). Dieser Betrag wird dem zuständigen Betreibungsamt zur Tilgung der unbestrittenen Forderungen (Betr.-Nrn. 2, 3, 4, 5, 6, 7, 8, 9) auszuzahlen sein - jedenfalls so weit ausreichend, da bei Zahlung über das Betreibungsamt Inkas- sospesen anfallen (Art. 19 GebV SchKG) und die im Auszug aufgeführten Beträ- ge nicht alle Zinsen und Kosten enthalten müssen. 4.4. Des Weiteren stehen den laufenden Verbindlichkeiten gemäss Auszug des Firmenkontos bei der PostFinance per 31. August 2018 flüssige Mittel in Höhe von Fr. 6'483.40 sowie Debitorenforderungen in Höhe von Fr. 35'482.25 (davon Fr. 31'587.75 durch Rechnungen belegt) gegenüber (act. 5/12 und act. 5/13-15). Unter dem Aspekt der Glaubhaftmachung ist deshalb davon auszugehen, dass die Beschwerdeführerin auch die laufenden Verbindlichkeiten zu decken vermag. 4.5. Vor diesem Hintergrund ist glaubhaft, dass die vorliegende Konkurseröff- nung kaum auf eine ständige Illiquidität der Beschwerdeführerin zurückzuführen ist, zumal die Beschwerdeführerin offenbar in der Lage war, den Betrag für die of- fenen in Betreibung gesetzten Schulden aufzubringen. Zudem ist glaubhaft, dass die Beschwerdeführerin mit den vorhandenen flüssigen Mitteln und den Debito- renforderungen auch die laufenden Verbindlichkeiten wird decken können. Dar- über hinaus weisen die eingereichte Bilanz und Erfolgsrechnung für das Jahr 2017 bei einem Umsatz von Fr. 170'731.59 einen Reingewinn von Fr. 60'218.41 aus (act. 5/16). Somit erscheint insgesamt die wirtschaftliche Le- bensfähigkeit der Beschwerdeführerin wahrscheinlicher als das Gegenteil. Daher gilt die Beschwerdeführerin nach dem Gesagten zur Zeit als zahlungsfähig im Sinne von Art. 174 Abs. 2 SchKG.</w:t>
      </w:r>
    </w:p>
    <w:p>
      <w:r>
        <w:rPr>
          <w:b/>
        </w:rPr>
        <w:t>E. 5</w:t>
      </w:r>
    </w:p>
    <w:p>
      <w:r>
        <w:t>Dies führt zur Gutheissung der Beschwerde. Die Kosten des Konkurseröff- nungs- und des Beschwerdeverfahrens wurden durch die Zahlungssäumnis der Beschwerdeführerin verursacht und sind daher ihr aufzuerlegen, obwohl der Kon- kurs letztlich aufgehoben werden kann. Prozessentschädigungen sind mangels entstandener Umtriebe nicht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