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PS170260 vom 4. Dezember 2017</w:t>
      </w:r>
    </w:p>
    <w:p>
      <w:r>
        <w:t>ZH Obergericht, 2017-12-04, DE</w:t>
      </w:r>
    </w:p>
    <w:p>
      <w:r>
        <w:rPr>
          <w:b/>
        </w:rPr>
        <w:t xml:space="preserve">Quelle: </w:t>
      </w:r>
      <w:r>
        <w:t>https://mcp.opencaselaw.ch/entscheid/zh_obergericht_PS170260</w:t>
      </w:r>
    </w:p>
    <w:p>
      <w:r>
        <w:t>FR: ZH_OBERGERICHT PS170260 du 4 décembre 2017</w:t>
      </w:r>
    </w:p>
    <w:p>
      <w:r>
        <w:t>IT: ZH_OBERGERICHT PS170260 del 4 dicembre 2017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November 2017 (act. 7/6-7) beim Konkursgericht selber auf die erfolgte Til- gung hinzuweisen. Dies insbesondere mit Blick auf Art. 172 Ziff. 3 SchKG, wo- nach das Konkursbegehren abzuweisen ist, wenn der Schuldner durch Urkunden beweist, dass die Schuld, Zinsen und Kosten inbegriffen, getilgt ist. Die Schuldne- rin durfte vor diesem Hintergrund nicht ohne Weiteres davon ausgehen, die ent- sprechende Mitteilung würde rechtzeitig durch die Gläubigerin erfolgen. Indem die</w:t>
      </w:r>
    </w:p>
    <w:p>
      <w:r>
        <w:t>- 4 - Schuldnerin der Vorinstanz die erfolgte Zahlung nicht rechtzeitig zur Kenntnis brachte, hat sie sowohl die erstinstanzliche Konkurseröffnung als auch das Be- schwerdeverfahren verursacht. Entsprechend hat sie die Kosten des Beschwer- deverfahrens, die Kosten des erstinstanzlichen Konkursgerichts und die Kosten des Konkursamtes zu tragen. Die Schuldnerin belegt, die vorinstanzliche Spruch- gebühr im Umfang von Fr. 250.00 am 20. November 2017 an die Vorinstanz ge- leistet zu haben (act. 4/2 und act. 7/11). Davon ist Vormerk zu nehmen. Die Ge- richtsgebühr für das Beschwerdeverfahren ist mit dem geleisteten Vorschuss zu verrechnen.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