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PS170231 vom 6. Februar 2018</w:t>
      </w:r>
    </w:p>
    <w:p>
      <w:r>
        <w:t>ZH Obergericht, 2018-02-06, DE</w:t>
      </w:r>
    </w:p>
    <w:p>
      <w:r>
        <w:rPr>
          <w:b/>
        </w:rPr>
        <w:t xml:space="preserve">Quelle: </w:t>
      </w:r>
      <w:r>
        <w:t>https://mcp.opencaselaw.ch/entscheid/zh_obergericht_PS170231</w:t>
      </w:r>
    </w:p>
    <w:p>
      <w:r>
        <w:t>FR: ZH_OBERGERICHT PS170231 du 6 février 2018</w:t>
      </w:r>
    </w:p>
    <w:p>
      <w:r>
        <w:t>IT: ZH_OBERGERICHT PS170231 del 6 febbraio 2018</w:t>
      </w:r>
    </w:p>
    <w:p>
      <w:pPr>
        <w:pStyle w:val="Heading2"/>
      </w:pPr>
      <w:r>
        <w:t>Erwägungen</w:t>
      </w:r>
    </w:p>
    <w:p>
      <w:r>
        <w:rPr>
          <w:b/>
        </w:rPr>
        <w:t>E. 1</w:t>
      </w:r>
    </w:p>
    <w:p>
      <w:r>
        <w:t>Mit Sicherstellungsverfügung vom 28. April 2017 forderte das Steueramt der Gemeinde Kilchberg die Eheleute A._____ und B._____ gestützt auf § 181 StG auf, zur Deckung geschuldeter Staats- und Gemeindesteuern samt Zinsen und Kosten den Betrag von Fr. 186'129.– zuzüglich zukünftiger Verfahrenskosten und Zins zu 4,5 % auf Fr. 33'396.25 ab 28. April 2017 sicherzustellen (act. 4/3 = act. 4/7/2 = act. 4/9/1). Unter dem gleichen Datum erliess es für die Steuerforde- rung gegen die Eheleute A._____B._____ von Fr. 186'129.– nebst Fr. 3'871.– Verfahrenskosten und Zins unter Hinweis auf die Sicherstellungsverfügung einen Arrestbefehl. Als Arrestgegenstand bezeichnete es ein nummernmässig bestimm- tes, auf "…-A._____" lautendes Konto bei der C._____-Bank am … [Ort] in Zürich (act. 4/7/1 = act. 4/9/2). Das Betreibungsamt ... vollzog den Arrest am 2. Mai 2017 (Arrest Nr. …; act. 4/7/3, act. 4/7/4 = act. 4/9/3). Die Arresturkunde wurde am 22. Mai 2017 versandt (act. 4/7/4 S. 4). Am 12. Mai 2017 erhoben die Eheleute beim Bezirksgericht Horgen als unterer Aufsichtsbehörde über das Betreibungsamt Beschwerde mit dem Antrag, es sei das Betreibungsamt anzuweisen, den Arrest unverzüglich aufzuheben. Eventuali- ter beantragten die Eheleute (denen das Betreibungsamt die Arresturkunde noch nicht zugestellt hatte), es seien ihnen zumindest die Umstände der Arrestlegung mit einer Arresturkunde mitzuteilen (act. 4/1 S. 2 und S. 4 Rz. 9). Das Bezirksge- richt eröffnete das Verfahren Nr. CB170017 (act. 4).</w:t>
      </w:r>
    </w:p>
    <w:p>
      <w:r>
        <w:rPr>
          <w:b/>
        </w:rPr>
        <w:t>E. 2</w:t>
      </w:r>
    </w:p>
    <w:p>
      <w:r>
        <w:t>Nachdem das Bezirksgericht dem Steueramt von der Beschwerdeschrift Kenntnis gegeben hatte (vgl. act. 4/4 und 4/5/1), erliess dieses gegenüber den Beschwerdeführern am 31. Mai 2017 eine zweite, die Sicherstellungsverfügung vom 28. April 2017 ersetzende Sicherstellungsverfügung, welche sich von der ersten Verfügung dadurch unterscheidet, dass als Steuerpflichtige nicht A.____ und B._____, sondern A._____ solidarhaftend B._____ bezeichnet werden (act. 4/9/5 = act. 3/7), und einen den Arrestbefehl vom 28. April 2017 ersetzenden</w:t>
      </w:r>
    </w:p>
    <w:p>
      <w:r>
        <w:t>- 3 - zweiten Arrestbefehl, der im Unterschied zum ersten als Arrestschuldner statt der Eheleute nur A._____ nennt (act. 4/9/6 = act. 3/8). Das Steueramt erklärte dem Betreibungsamt, es ziehe den Arrestbefehl vom 28. April 2017 zurück (act. 4/9/4 = act. 4/11; vgl. act. 4/8 S. 3 Ziff. 4). Am 2. Juni 2017 verarrestierte das Betreibungsamt das genannte Bankkonto ge- stützt auf den zweiten Arrestbefehl erneut (Arrest Nr. ...; act. 3/2). Es teilte dem Bezirksgericht mit, dass das Steueramt die (erste) Sicherstellungsverfügung und den Arrestbefehl vom 28. April 2017 gegen die beiden Beschwerdeführer zurück- gezogen habe, womit die Beschwerde gegenstandslos geworden sei (act. 4/10; vgl. auch act. 4/6 S. 3 Abs. 5). Mit Eingabe vom 16. Juni 2017 erhoben die Eheleute A._____B._____ beim Be- zirksgericht Horgen auch gegen den zweiten Arrestvollzug (Arrest Nr. ...) Be- schwerde. Sie beantragten, das Betreibungsamt anzuweisen, den Arrest aufzu- heben (act. 1 S. 2). Das Bezirksgericht eröffnete das Verfahren Nr. CB170020.</w:t>
      </w:r>
    </w:p>
    <w:p>
      <w:r>
        <w:rPr>
          <w:b/>
        </w:rPr>
        <w:t>E. 3</w:t>
      </w:r>
    </w:p>
    <w:p>
      <w:r>
        <w:t>Mit Beschluss vom 6. Juli 2017 vereinigte das Bezirksgericht die Verfahren (act. 4/12 = act. 5). Mit Urteil vom 3. Oktober 2017 wies es die Beschwerde ab (act. 11).</w:t>
      </w:r>
    </w:p>
    <w:p>
      <w:r>
        <w:rPr>
          <w:b/>
        </w:rPr>
        <w:t>E. 4</w:t>
      </w:r>
    </w:p>
    <w:p>
      <w:r>
        <w:t>Zusammenfassend bleibt festzuhalten, dass die Beschwerde, soweit darauf einzutreten ist, unbegründet und abzuweisen ist. Wie weit die Beschwerdeführerin B._____ durch den vorinstanzlichen Entscheid beschwert ist, kann dahingestellt bleiben.</w:t>
      </w:r>
    </w:p>
    <w:p>
      <w:r>
        <w:rPr>
          <w:b/>
        </w:rPr>
        <w:t>E. 5</w:t>
      </w:r>
    </w:p>
    <w:p>
      <w:r>
        <w:t>Das Beschwerdeverfahren vor den kantonalen Behörden ist grundsätzlich kos- tenlos (Art. 20a Abs. 2 Ziff. 5 SchKG; Art. 61 Abs. 2 lit. a GebV SchKG). Eine Par- teientschädigung darf nicht zugesprochen werden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