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PS170179 vom 5. September 2017</w:t>
      </w:r>
    </w:p>
    <w:p>
      <w:r>
        <w:t>ZH Obergericht, 2017-09-05, DE</w:t>
      </w:r>
    </w:p>
    <w:p>
      <w:r>
        <w:rPr>
          <w:b/>
        </w:rPr>
        <w:t xml:space="preserve">Quelle: </w:t>
      </w:r>
      <w:r>
        <w:t>https://mcp.opencaselaw.ch/entscheid/zh_obergericht_PS170179</w:t>
      </w:r>
    </w:p>
    <w:p>
      <w:r>
        <w:t>FR: ZH_OBERGERICHT PS170179 du 5 septembre 2017</w:t>
      </w:r>
    </w:p>
    <w:p>
      <w:r>
        <w:t>IT: ZH_OBERGERICHT PS170179 del 5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Einleitung, Prozessgeschichte Mit Eingabe vom 28. Juli 2017 stellte die Gesuchstellerin und Beschwerdeführerin (im Folgenden: Beschwerdeführerin) beim Bezirksgericht Zürich folgendes Rechtsbegehren (act. 1 S. 2): Es seien bei der C._____ AG, … [Strasse] Zürich, und bei der C._____ (Schweiz) AG, … Zürich, am Hauptsitz und in den Filialen gelegenen Vermögenswerte des Ge- suchsgegners, insbesondere Forderungen, Kontokorrentguthaben und Barschaften in in- und ausländischer Währung, Kundenguthaben, Edelmetalle, Wertschriften, Depots-, Safe- und Schrankfachinhalte, sonstige Vermögenswerte sowie sämtliche Herausgabeansprüche aus Depotverträgen und Treuhandverhältnissen, inklusive zukünftige Er- trägnisse aus solchen Vermögenswerten, die auf den Namen und/oder auf Nummern des Gesuchsgegners lauten und/oder zu Gunsten des Gesuchsgegners gehalten werden, insbesondere das Konto bei der C._____ … [Strasse], … D._____ [Ortschaft], SWIFT BC: …, zu verar- restieren, alles soweit verarrestierbar, bis zur Deckung der Arrestforderung von CHF 42'528'100.00 (entsprechend USD 44'375'625.45 zum Wechsel- kurs vom 28. Juli 2017) zuzüglich Zins zu 5% seit dem 28. Juli 2017 sowie der Kosten. Alles unter Kosten- und Entschädigungsfolgen zu Lasten des Ge- suchsgegners. Die Beschwerdeführerin behauptete, der Gesuchsgegner und Beschwerdegegner (im Folgenden: Beschwerdegegner) sei Hauptaktionär, Direktor, Verwaltungsrats- präsident und CEO der E._____ Inc (E._____), einer Aktiengesellschaft mit Sitz in …, gewesen. Sie selber (die Beschwerdeführerin) sei Aktionärin der E._____. Der</w:t>
      </w:r>
    </w:p>
    <w:p>
      <w:r>
        <w:t>- 3 - Beschwerdegegner habe seine Position in der E._____ missbraucht und im gros- sen Stil Vermögenswerte veruntreut und unterschlagen. Die Beschwerdeführerin habe sowohl gegen die E._____ als auch gegen den Beschwerdegegner erfolg- reich geklagt. Er sei mit Entscheid vom 22. Juni 2017 verpflichtet worden, der Be- schwerdeführerin USD 44'375'625.45 zu bezahlen. Das Urteil stelle einen definiti- ven Rechtsöffnungstitel dar, die Arrestforderung sei glaubhaft gemacht und der Arrestgrund von Art. 271 Abs. 1 Ziff. 6 SchKG sei erfüllt. Ein von der Beschwerdeführerin beauftragter Ermittler habe dieser die Information gegeben, dass der Beschwerdegegner bei der C._____ AG mindestens ein Bank- konto habe. Eidesstattlich habe der Ermittler folgendes erklärt (act. 1 S. 19 f. mit Hinweis auf act. 25): In performing my services, I obtained information that Mr. B._____ has at least one bank account at C._____ Bank at its branch located at …, D._____, Switzerland, SWIFT BIC: …, BC: …; Telephone: (…) …. Da im Zuge der Gründung der C._____ (Schweiz) AG auch gewisse internationa- le Kundenbeziehungen auf diese Gesellschaft übertragen worden seien, sei der Arrest auch auf Vermögenswerte des Beschwerdegegners bei der C._____ (Schweiz) AG zu erstrecken. Mit Urteil vom 31. Juli 2017 wies das Bezirksgericht Zürich das Gesuch ab (act. 5 = act. 8):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