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PS170171 vom 13. Oktober 2017</w:t>
      </w:r>
    </w:p>
    <w:p>
      <w:r>
        <w:t>ZH Obergericht, 2017-10-13, DE</w:t>
      </w:r>
    </w:p>
    <w:p>
      <w:r>
        <w:rPr>
          <w:b/>
        </w:rPr>
        <w:t xml:space="preserve">Quelle: </w:t>
      </w:r>
      <w:r>
        <w:t>https://mcp.opencaselaw.ch/entscheid/zh_obergericht_PS170171</w:t>
      </w:r>
    </w:p>
    <w:p>
      <w:r>
        <w:t>FR: ZH_OBERGERICHT PS170171 du 13 octobre 2017</w:t>
      </w:r>
    </w:p>
    <w:p>
      <w:r>
        <w:t>IT: ZH_OBERGERICHT PS170171 del 13 ottobre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Beschwerdeführerin (fortan: Schuldnerin) ist Stockwerkeigentümerin der Liegenschaft an der E._____-Strasse … in F._____ und Schuldnerin in den Be- treibungen Nr. 1 und Nr. 2 sowie in der Betreibung Nr. 3 des Betreibungsamtes Uster. Die Beschwerdegegnerinnen sind die Gläubigerinnen in diesen Betreibun- gen (nachfolgend: Gläubigerinnen). Am 10. Mai 2017 verlangten die Gläubigerin- nen 1 und 2 die Fortsetzung der Betreibungen Nr. 1 und Nr. 2 (act. 6/10; act. 6/11). Mit Schreiben vom 6. Juni 2017 zeigte das Betreibungsamt Uster der Schuldnerin die Schätzung des Stockwerkeigentums an der E._____-Strasse … in F._____ an und stellte ihr gleichzeitig die Pfändungsankündigungen in den ge- nannten Betreibungen zu (act. 2/1 = act. 6/4; act. 2/2). Hiergegen erhob die Schuldnerin mit Eingabe vom 21. Juni 2017 Beschwerde beim Bezirksgericht Us- ter als untere kantonalen Aufsichtsbehörde über Schuldbetreibungs- und Kon- kurssachen (fortan: Vorinstanz, act. 1). Sie stellte folgende Anträge (act. 1 S. 2): " 1. Die Verfügung über die Ankündigung der Schätzung am Mitt- woch, den 28. Juni 2017, sei aufzuheben.</w:t>
      </w:r>
    </w:p>
    <w:p>
      <w:r>
        <w:rPr>
          <w:b/>
        </w:rPr>
        <w:t>E. 2</w:t>
      </w:r>
    </w:p>
    <w:p>
      <w:r>
        <w:t>Die Pfändungsankündigungen der C._____ AG und B._____ AG seien aufzuheben.</w:t>
      </w:r>
    </w:p>
    <w:p>
      <w:r>
        <w:rPr>
          <w:b/>
        </w:rPr>
        <w:t>E. 3</w:t>
      </w:r>
    </w:p>
    <w:p>
      <w:r>
        <w:t>Eventuell sei[en] die Betreibungen der C._____ AG und B._____ AG der Beschwerdeführerin zuzustellen.</w:t>
      </w:r>
    </w:p>
    <w:p>
      <w:r>
        <w:rPr>
          <w:b/>
        </w:rPr>
        <w:t>E. 4</w:t>
      </w:r>
    </w:p>
    <w:p>
      <w:r>
        <w:t>Die vorinstanzlichen Akten wurden beigezogen (act. 1-10). Von der Einho- lung einer Beschwerdeantwort bzw. einer Vernehmlassung kann abgesehen wer- den (Art. 20a Abs. 3 SchKG i.V.m. Art. 322 Abs. 1 sowie Art. 324 ZPO bzw. § 83 Abs. 2 GOG). Das Verfahren ist spruchreif. II. Rechtliche Vorbemerkungen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