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PS170126 vom 26. Januar 2018</w:t>
      </w:r>
    </w:p>
    <w:p>
      <w:r>
        <w:t>ZH Obergericht, 2018-01-26, DE</w:t>
      </w:r>
    </w:p>
    <w:p>
      <w:r>
        <w:rPr>
          <w:b/>
        </w:rPr>
        <w:t xml:space="preserve">Quelle: </w:t>
      </w:r>
      <w:r>
        <w:t>https://mcp.opencaselaw.ch/entscheid/zh_obergericht_PS170126</w:t>
      </w:r>
    </w:p>
    <w:p>
      <w:r>
        <w:t>FR: ZH_OBERGERICHT PS170126 du 26 janvier 2018</w:t>
      </w:r>
    </w:p>
    <w:p>
      <w:r>
        <w:t>IT: ZH_OBERGERICHT PS170126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7 (fortan Betreibungsamt) vollzog den Arrest am 28. Januar 2016 (act. 3/5). Die Beschwerden gegen die Sicherstellungsverfü- gungen wiesen sowohl das kantonale Verwaltungsgericht als auch das Bundes- gericht mit Entscheiden vom 22. Juni 2016 und 8. Dezember 2016 ab. Als Sicher- 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27. Februar 2017 wies das Betreibungsamt den Antrag auf Freigabe der arrestierten Werte ab. Wei- ter hielt es fest, mit Einleitung des Veranlagungsverfahrens habe das Steueramt, ungeachtet allfällig bisheriger Betreibungshandlungen, den Arrest genügend pro- sequiert (act. 3/2 = act. 9/14).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19 = act. 22 = act. 24).</w:t>
      </w:r>
    </w:p>
    <w:p>
      <w:r>
        <w:rPr>
          <w:b/>
        </w:rPr>
        <w:t>E. 1.6</w:t>
      </w:r>
    </w:p>
    <w:p>
      <w:r>
        <w:t>Der Beschwerdeführer erhob mit Eingabe vom 23. Juni 2017 Beschwerde gegen den vorinstanzlichen Entscheid an die Kammer als obere kantonale Auf- sichtsbehörde über Betreibungsämter (act. 23).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1-20). Mit Verfügung vom 25. Juni 2017 wurde der Beschwerdegegnerin Gelegenheit gegeben, die Be- schwerde zu beantworten (act. 36). Die Beschwerdeantwort vom 7. August 2017 (act. 39) wurde dem Beschwerdeführer zugestellt (act. 33). Am 8. Januar 2018 reichte er eine Stellungnahme zur Beschwerdeantwort ein (act. 36).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23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acht SchKG- Beschwerdeverfahren handelt, die auf gleichen tatsächlichen und rechtlichen Gründen beruhen. Indessen scheint die praktische Umsetzung einer Vereinigung (Integration von acht einigermassen aktenreicher Verfahren in ein neuntes mit leicht unterschiedlichen Actorennummern gleicher Schriftstücke in den verschie- denen Verfahren, unterschiedliche Beschwerdegegner sowie unterschiedliche Be- treibungsämter) umständlich. Für das vorliegende sowie ein allfälliges Beschwer- deverfahren vor Bundesgericht wäre durch die Verfahrensvereinigung sodann nichts gewonnen, da die Vorakten bereits vorhanden sind, insofern also ein Ko- pieraufwand entfällt, und sich der Mehraufwand für die Erstellung von acht an sich gleichen Beschwerdeschriften in Grenzen hält. Eine Beschleunigung oder wesent- liche Vereinfachung wäre bei einer Verfahrensvereinigung nicht zu erwarten. Der Antrag ist daher abzuweisen und das Verfahren entsprechend der vorinstanzli- 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23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22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23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23 S. 8, act. 36 S. 7).</w:t>
      </w:r>
    </w:p>
    <w:p>
      <w:r>
        <w:rPr>
          <w:b/>
        </w:rPr>
        <w:t>E. 4.2.3</w:t>
      </w:r>
    </w:p>
    <w:p>
      <w:r>
        <w:t>Der Beschwerdeführer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23 S. 8).</w:t>
      </w:r>
    </w:p>
    <w:p>
      <w:r>
        <w:rPr>
          <w:b/>
        </w:rPr>
        <w:t>E. 4.2.4</w:t>
      </w:r>
    </w:p>
    <w:p>
      <w:r>
        <w:t>Die Beschwerdegegnerin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29 S. 3 f.). Es sei ausserdem nichts weiter als rechtsmissbräuchlich, wenn sich der Beschwerdeführer beim an- geblich neu vorliegenden Wohnsitz in der Schweiz auf ein zulässiges Novum be- rufe, welches er aber selbst bestimmt habe und auch künftig selber bestimmen könne (act. 29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von der Beschwerdegegnerin nicht dargelegt worden. Schliesslich würden die knappe liquide Situation sowie die mangelnde Kooperationsbereitschaft bestritten (act. 36 S. 5 f.). Weshalb der Zu- zug in die Schweiz keine Veränderung der Verhältnisse darstellen solle, nachdem gerade der ausländische Wohnsitz den Arrestgrund bilde, sei nicht nachvollzieh- bar (act. 36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Vor diesem Hintergrund kann im vorliegenden Beschwer-</w:t>
      </w:r>
    </w:p>
    <w:p>
      <w:r>
        <w:t>- 11 - deverfahren offen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der Be- schwerdegegnerin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die Beschwerdegegnerin einen Tag vor bzw. am Tag der Arrestlegung die Veranlagungsverfügungen für die Steuerperioden 2010 bis 2013 bzw. 2005 bis 2009 prosequiert habe. Damit gelte der Arrest bis zur Rechtskraft der vor Verwaltungsgericht hängigen Veranlagungsverfahren als prosequiert. Der Umstand, dass die Beschwerdegegnerin in der gestützt auf die Sicherstellungsverfügung angehobenen Betreibung auf Sicherheitsleistung keine Rechtsöffnung erhalten habe bzw. dass auf das Begehren nicht eingetreten wor- den sei, führe nicht zum Dahinfallen des Arrests. Die Beschwerdegegnerin sei nicht verpflichtet gewesen, eine Betreibung auf Sicherheitsleistung einzuleiten. Leite sie dennoch eine solche ein, schade es ihr nicht, wenn sie keine Rechtsöff- nung erhalten habe, sofern daneben das Veranlagungsverfahren hängig sei. Die Beschwerdegegnerin habe den Arrest genügend prosequiert (act. 22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22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Die Beschwerdegegnerin sei von Anfang an davon ausgegangen, sie müsse den Arrest auf dem Weg der Betreibung auf Sicherheitsleistung prosequieren, sonst hätte sie die Betreibung wohl nicht eingeleitet. Auch das Betreibungsamt sei davon ausgegangen; es habe nämlich einen entsprechenden Zahlungsbefehl ausgestellt. Weder von der Be- schwerdegegnerin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23 S. 10 f., act. 36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23 S. 11 f.; act. 36 S. 8).</w:t>
      </w:r>
    </w:p>
    <w:p>
      <w:r>
        <w:rPr>
          <w:b/>
        </w:rPr>
        <w:t>E. 5.2.5</w:t>
      </w:r>
    </w:p>
    <w:p>
      <w:r>
        <w:t>Die Beschwerdegegnerin macht geltend, dass sie ihre Position nicht nach Belieben gewechselt, sondern praxisgemäss lediglich ihr Wahlrecht in Anspruch genommen habe. Nicht sie,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ihre Ansicht bzw. die Ansicht des Betreibungsamts hinsichtlich der Arrestprosequierung kennen wolle, sei rätselhaft. Tatsache sei, dass die Prosequierung sowohl mittels Einleitung des Veranlagungsverfahrens als auch mittels Betreibung auf Sicherheitsleistung gesetzlich vorgesehen und mög- lich sei und diesbezüglich ein Wahlrecht des Gläubigers bestehe. Merkwürdig bzw. widersprüchlich sei, dass selbst Rechtsanwalt Dr. E._____, der den Be- schwerdeführer in Sachen Sicherstellungsverfahren vertrete, der Auffassung sei, der Arrest könne durch Eröffnung eines Veranlagungsverfahrens prosequiert wer- den. Eine Praxisänderung liege nicht vor, zumal der Beschwerdeführer ihre Praxis gar nicht kennen könne, hätten seine Rechtsvertreter in der vergangenen Jahren doch nie einen Steuerpflichtigen in Sachen Steuersicherung oder Arrest vertreten (act. 29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die Beschwerdegegnerin einzig eine Betreibung auf Si- cherheitsleistung innert zehn Tagen nach Eintritt der Rechtskraft der Sicherstel- lungsverfügung oder die Klageerhebung infrage, da noch keine rechtskräftige Steuerveranlagung des Beschwerdeführers vorliegt. Die Beschwerdegegnerin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die Be- schwerdegegnerin so gehandhabt und es kann angenommen werden, dass die- 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der Beschwerdegegnerin nicht zur Last gelegt werden, weil von Geset- zes wegen beide Möglichkeiten zur Verfügung stehen. Damit konnte der Be- schwerdeführer von Anfang an kein berechtigtes Vertrauen bilden, dass der Ar- rest nach erfolgloser Betreibung dahinfallen würde. Dies wäre allein dann der Fall, wenn der Weg über die Einleitung eines materiellen Steuerverfahrens von den Gerichten oder Steuerbehörden in der Vergangenheit als unzulässige Prosequie- rungshandlung gewertet worden wäre und diese Praxis nun im Einzelfall aufge- 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23 S. 13). Weil er aber von einer Heilung der Gehörsverletzung im vorliegenden Rechtsmit- telverfahren ausgehe, verlange er lediglich eventualiter eine Aufhebung des ange- fochtenen Beschlusses der Vorinstanz und eine Rückweisung der Sache zur Neubeurteilung an dieselbe (act. 23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w:t>
      </w:r>
    </w:p>
    <w:p>
      <w:r>
        <w:t>- 18 - richt muss sich aber nicht mit allen Standpunkten einlässlich auseinandersetzen, sondern es genügt, wenn es sich auf die für den Entscheid wesentlichen Punkte beschränkt (ZK ZPO-SUTTER-SOMM / CHEVALIER, 3. Aufl., Art. 53 N 14). Die Vo- rinstanz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22 S. 8) und hielt in Bezug auf die Prosequierung fest, dass es der Beschwerdegegnerin nicht schade, wenn sie in der Betreibung auf Sicherheitsleistung keine Rechtsöffnung erhalten habe, sofern daneben das Veranlagungsverfahren hängig sei (act. 22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