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PS170114 vom 4. September 2017</w:t>
      </w:r>
    </w:p>
    <w:p>
      <w:r>
        <w:t>ZH Obergericht, 2017-09-04, DE</w:t>
      </w:r>
    </w:p>
    <w:p>
      <w:r>
        <w:rPr>
          <w:b/>
        </w:rPr>
        <w:t xml:space="preserve">Quelle: </w:t>
      </w:r>
      <w:r>
        <w:t>https://mcp.opencaselaw.ch/entscheid/zh_obergericht_PS170114</w:t>
      </w:r>
    </w:p>
    <w:p>
      <w:r>
        <w:t>FR: ZH_OBERGERICHT PS170114 du 4 septembre 2017</w:t>
      </w:r>
    </w:p>
    <w:p>
      <w:r>
        <w:t>IT: ZH_OBERGERICHT PS170114 del 4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11. Mai 2017 stellte das Betreibungsamt Zürich 1 der Kommanditgesell- schaft "A._____ &amp; Co, …" in der Betreibung Nr. … für diverse Forderungen der B._____ GmbH die Konkursandrohung zu (act. 2/9). Mit beim Betreibungsamt eingereichter und von diesem an das Bezirksgericht Zürich als untere kantonale Aufsichtsbehörde über die Betreibungsämter weitergeleiteter Eingabe vom 18. Mai 2017 erhob die Gesellschaft – bzw. für sie der unbeschränkt haftende Gesellschafter D._____ – Beschwerde (act. 1 und 3). Sie machte im Wesentli- chen geltend, die in Betreibung gesetzten Forderungen nur im Umfang von EUR 869.30 zu akzeptieren. Das Bezirksgericht wies die Beschwerde mit Be- schluss vom 29. Mai 2017 ab, soweit es darauf eintrat (act. 8).</w:t>
      </w:r>
    </w:p>
    <w:p>
      <w:r>
        <w:rPr>
          <w:b/>
        </w:rPr>
        <w:t>E. 2</w:t>
      </w:r>
    </w:p>
    <w:p>
      <w:r>
        <w:t>Mit Eingabe vom 14. Juni 2017 wandte sich die Beschwerdeführerin rechtzeitig an das Obergericht. Sie beantragt die Gutheissung der gegen die Konkursandro- hung erhobenen Beschwerde. Sie macht geltend, die Betreibungsgläubigerin ha- be falsch abgerechnet und – neu – der Zahlungsbefehl vom 28. November 2016 sei ihr nicht zugestellt worden, weshalb sie keinen Rechtsvorschlag erhoben habe (act. 9; vgl. act. 6/3).</w:t>
      </w:r>
    </w:p>
    <w:p>
      <w:r>
        <w:rPr>
          <w:b/>
        </w:rPr>
        <w:t>E. 3</w:t>
      </w:r>
    </w:p>
    <w:p>
      <w:r>
        <w:t>Aus den von der Kammer neben den vorinstanzlichen Akten (act. 1–6) beige- zogenen betreibungsamtlichen Akten (act. 14/1–14) wird ersichtlich, dass sich das Betreibungsbegehren der B._____ GmbH gegen "D.____" richtet (act. 14/1, 14/9) und nicht wie der Zahlungsbefehl – und die Konkursandrohung – gegen die Kommanditgesellschaft "A._____ &amp; Co, …" (act. 14/14, 2/9). Auch der dem Be- treibungsbegehren als Forderungstitel beigelegte Vollstreckungsbescheid des deutschen Amtsgerichts Hagen vom 11. Juli 2016 richtet sich gegen "D._____" als Antragsgegner (act. 14/8, 2/8). Auf der Gläubigerausfertigung des Zahlungs- befehls vom 17. November 2016 (act. 14/14) ist sodann bescheinigt, dass der Zahlungsbefehl am 28. November 2016 an E.____, "Sohn des Betr.", zugestellt wurde (gemeint ist offensichtlich der im Handelsregister nicht als Vertretungsbe- rechtigter der Kommanditgesellschaft eingetragene Sohn des Gesellschafters D._____ [act. 14/10]). Eine E-Mail der Kommanditgesellschaft an den Betrei- bungsbeamten vom 22. November 2016 legt die Annahme nahe, dass die Über-</w:t>
      </w:r>
    </w:p>
    <w:p>
      <w:r>
        <w:t>- 3 - gabe des Zahlungsbefehls im Amtslokal des Betreibungsamtes erfolgte (act. 14/11). Diese Feststellungen veranlassten die Kammer, vom Betreibungsamt mit Verfü- gung vom 17. Juli 2017 einen Bericht zur Zustellung des Zahlungsbefehls und zur Diskrepanz zwischen Betreibungsbegehren und Zahlungsbefehl einzuholen und der Beschwerde einstweilen aufschiebende Wirkung zu erteilen (act. 18).</w:t>
      </w:r>
    </w:p>
    <w:p>
      <w:r>
        <w:rPr>
          <w:b/>
        </w:rPr>
        <w:t>E. 4</w:t>
      </w:r>
    </w:p>
    <w:p>
      <w:r>
        <w:t>Das Betreibungsamt hielt in seinem Bericht vom 19. Juli 2017 fest, es habe nach der Schliessung des Geschäftes der Kommanditgesellschaft an der … [Strasse] in F._____ mit deren Gesellschafter D._____ vereinbart, dass er Betrei- bungsurkunden auf entsprechende Aufforderung hin im Amt abhole. Es könne davon ausgegangen werden, dass E._____, der sich zusammen mitseinem Vater D._____ um die Gesellschaft kümmere, zur Abholung von Urkunden berechtigt sei, und es seien Zustellungen zuhanden der "A._____ &amp; Co, …" ohne schriftliche Vollmacht an E._____ erfolgt. Die Gesellschaft habe diese Zustellungsart über lange Zeit stillschweigend geduldet und E._____ als berechtigten Vertreter er- scheinen lassen. Schliesslich hielt das Betreibungsamt fest, aufgrund der ihm be- kannten Umstände keinen Zweifel an der Parteistellung der Kommanditgesell- schaft gehegt zu haben (act. 20).</w:t>
      </w:r>
    </w:p>
    <w:p>
      <w:r>
        <w:rPr>
          <w:b/>
        </w:rPr>
        <w:t>E. 5</w:t>
      </w:r>
    </w:p>
    <w:p>
      <w:r>
        <w:t>Mit der Feststellung der Nichtigkeit des Zahlungsbefehls wird die Prüfung der Gültigkeit der Zustellung des Zahlungsbefehls an E._____ obsolet. Eine Ausein- andersetzung mit BGE 118 III 10, wo die Figur der Anscheins- bzw. Duldungs- vollmacht für die Zustellung von Betreibungsurkunden als irrelevant erachtet wur- de (vgl. BGer 5A_412/2016 vom 14. Oktober 2016, Erw. 3.3), erübrigt sich. Ob im vorliegenden Verfahren überhaupt von einer solchen Vollmacht ausgegangen werden könnte – das Betreibungsamt hat seine Darstellung nicht belegt (act. 20) –, braucht nicht geprüft zu werden.</w:t>
      </w:r>
    </w:p>
    <w:p>
      <w:r>
        <w:rPr>
          <w:b/>
        </w:rPr>
        <w:t>E. 6</w:t>
      </w:r>
    </w:p>
    <w:p>
      <w:r>
        <w:t>Das Beschwerdeverfahren vor den kantonalen Behörden ist grundsätzlich kos- tenlos (Art. 20a Abs. 2 Ziff. 5 SchKG; Art. 61 Abs. 2 lit. a GebV SchKG). Eine Par- teientschädigung darf nicht zugesprochen werden (Art. 62 Abs. 2 GebV SchKG).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