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PS170112 vom 26. Juli 2017</w:t>
      </w:r>
    </w:p>
    <w:p>
      <w:r>
        <w:t>ZH Obergericht, 2017-07-26, DE</w:t>
      </w:r>
    </w:p>
    <w:p>
      <w:r>
        <w:rPr>
          <w:b/>
        </w:rPr>
        <w:t xml:space="preserve">Quelle: </w:t>
      </w:r>
      <w:r>
        <w:t>https://mcp.opencaselaw.ch/entscheid/zh_obergericht_PS170112</w:t>
      </w:r>
    </w:p>
    <w:p>
      <w:r>
        <w:t>FR: ZH_OBERGERICHT PS170112 du 26 juillet 2017</w:t>
      </w:r>
    </w:p>
    <w:p>
      <w:r>
        <w:t>IT: ZH_OBERGERICHT PS170112 del 26 luglio 2017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sei von der Auferlegung einer Arrestkaution abzusehen.</w:t>
      </w:r>
    </w:p>
    <w:p>
      <w:r>
        <w:rPr>
          <w:b/>
        </w:rPr>
        <w:t>E. 3</w:t>
      </w:r>
    </w:p>
    <w:p>
      <w:r>
        <w:t>Alles unter Kosten- und Entschädigungsfolgen zulasten des Beschwer- degegners, eventualiter zu Lasten der kantonalen Kasse."</w:t>
      </w:r>
    </w:p>
    <w:p>
      <w:r>
        <w:rPr>
          <w:b/>
        </w:rPr>
        <w:t>E. 4</w:t>
      </w:r>
    </w:p>
    <w:p>
      <w:r>
        <w:t>Mit Verfügung vom 14. Juni 2017 wurde der Gläubigerin Frist zur Leistung eines Kostenvorschusses angesetzt (act. 12). Dieser ging rechtzeitig ein (act. 14). Die Akten der Vorinstanz wurden beigezogen; das Verfahren erweist sich als spruchreif. II. Prozessuale Vorbemerkungen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