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PS170022 vom 22. März 2017</w:t>
      </w:r>
    </w:p>
    <w:p>
      <w:r>
        <w:t>ZH Obergericht, 2017-03-22, DE</w:t>
      </w:r>
    </w:p>
    <w:p>
      <w:r>
        <w:rPr>
          <w:b/>
        </w:rPr>
        <w:t xml:space="preserve">Quelle: </w:t>
      </w:r>
      <w:r>
        <w:t>https://mcp.opencaselaw.ch/entscheid/zh_obergericht_PS170022</w:t>
      </w:r>
    </w:p>
    <w:p>
      <w:r>
        <w:t>FR: ZH_OBERGERICHT PS170022 du 22 mars 2017</w:t>
      </w:r>
    </w:p>
    <w:p>
      <w:r>
        <w:t>IT: ZH_OBERGERICHT PS170022 del 22 marzo 2017</w:t>
      </w:r>
    </w:p>
    <w:p>
      <w:pPr>
        <w:pStyle w:val="Heading2"/>
      </w:pPr>
      <w:r>
        <w:t>Erwägungen</w:t>
      </w:r>
    </w:p>
    <w:p>
      <w:r>
        <w:rPr>
          <w:b/>
        </w:rPr>
        <w:t>E. 1.1</w:t>
      </w:r>
    </w:p>
    <w:p>
      <w:r>
        <w:t>Auf Begehren der Beklagten, Gläubiger und Beschwerdeführer (im Folgen- den: Beschwerdeführer) stellte das Betreibungsamt Wallisellen-Dietlikon am</w:t>
      </w:r>
    </w:p>
    <w:p>
      <w:r>
        <w:rPr>
          <w:b/>
        </w:rPr>
        <w:t>E. 1.2</w:t>
      </w:r>
    </w:p>
    <w:p>
      <w:r>
        <w:t>Mit Verfügung vom 19. Juli 2016 setzte die Vorinstanz dem Beschwerde- gegner Frist zur Leistung eines Gerichtskostenvorschusses von CHF 500.00 an (act. 4). Mit Eingabe vom 3. August 2016 stellten die Beschwerdeführer den Antrag, es sei der Beschwerdegegner zu verpflichten, für die Parteientschädigung der Be- schwerdeführer Sicherheit zu leisten. Begründet wurde der Antrag damit, der Be- schwerdegegner sei notorisch überschuldet. Er habe mindestens acht Verlust- scheine. Am 10. Mai 2012 sei zudem der Konkurs über ihn eröffnet worden (act. 7). Gleichentags stellte der Beschwerdegegner ein Gesuch um Gewährung der unentgeltlichen Rechtspflege (act. 6). Mit Verfügung vom 4. August 2016 nahm die Vorinstanz dem Beschwerdegegner die Frist zur Leistung des Kostenvorschusses ab und wies den Antrag der Be- schwerdeführer, wonach der Beschwerdegegner zur Leistung einer Sicherheit für die Parteientschädigung zu verpflichten sei, ab. Diesbezüglich erwog sie, der An-</w:t>
      </w:r>
    </w:p>
    <w:p>
      <w:r>
        <w:t>- 3 - trag sei abzuweisen, obwohl die Voraussetzungen von Art. 99 Abs. 1 lit. b ZPO wohl erfüllt wären, da gemäss Art. 99 Abs. 3 lit. c ZPO im summarischen Verfah- ren keine Sicherheit zu leisten sei. Im Anschluss an die Verhandlung vom 24. November 2016 (Protokoll Vorinstanz S. 5 ff.) entschied die Vorinstanz ohne Begründung Folgendes (act. 25): (Verfügung):</w:t>
      </w:r>
    </w:p>
    <w:p>
      <w:r>
        <w:rPr>
          <w:b/>
        </w:rPr>
        <w:t>E. 2</w:t>
      </w:r>
    </w:p>
    <w:p>
      <w:r>
        <w:t>Mai 2016 einen Zahlungsbefehl gegen den Kläger, Schuldner und Beschwer- degegner (im Folgenden: Beschwerdegegner) aus. Im Zahlungsbefehl sind zwei Forderungen aufgeführt: CHF 205'141.05 nebst Zins zu 5% seit 10. September 2015 (Darlehensvereinbarung zwischen A._____ und D._____ vom 11. November 2013) sowie CHF 31'800.00 nebst Zins zu 5% seit 1. Januar 2016 (Kaufvertrag zwischen A._____ und D._____ vom 8. Oktober 2010). Der Zahlungsbefehl wurde dem Beschwerdegegner am 29. Juni 2016 zugestellt. Am 8. Juli 2016 erhob er Rechtsvorschlag mit der Begründung "kein neues Vermögen" (act. 2). Am 14. Juli 2016 überwies das Betreibungsamt den Zahlungsbefehl zusammen mit einem Schreiben der Beschwerdeführer vom 12. Juli 2016 (act. 3) dem Bezirksgericht Bülach (act.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