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PS160213 vom 15. November 2016</w:t>
      </w:r>
    </w:p>
    <w:p>
      <w:r>
        <w:t>ZH Obergericht, 2016-11-15, DE</w:t>
      </w:r>
    </w:p>
    <w:p>
      <w:r>
        <w:rPr>
          <w:b/>
        </w:rPr>
        <w:t xml:space="preserve">Quelle: </w:t>
      </w:r>
      <w:r>
        <w:t>https://mcp.opencaselaw.ch/entscheid/zh_obergericht_PS160213</w:t>
      </w:r>
    </w:p>
    <w:p>
      <w:r>
        <w:t>FR: ZH_OBERGERICHT PS160213 du 15 novembre 2016</w:t>
      </w:r>
    </w:p>
    <w:p>
      <w:r>
        <w:t>IT: ZH_OBERGERICHT PS160213 del 15 novembre 2016</w:t>
      </w:r>
    </w:p>
    <w:p>
      <w:pPr>
        <w:pStyle w:val="Heading2"/>
      </w:pPr>
      <w:r>
        <w:t>Erwägungen</w:t>
      </w:r>
    </w:p>
    <w:p>
      <w:r>
        <w:rPr>
          <w:b/>
        </w:rPr>
        <w:t>E. 1</w:t>
      </w:r>
    </w:p>
    <w:p>
      <w:r>
        <w:t>Mit Urteil vom 2. November 2016 eröffnete das Konkursgericht des Bezirks- gerichtes Zürich (nachfolgend Vorinstanz) über die Schuldnerin und Beschwerde- führerin (nachfolgend Schuldnerin) den Konkurs (act. 3 = act. 6/6). Mit rechtzeitig eingereichter Beschwerde beantragt die Schuldnerin die Aufhebung des Konkur- ses. Zur Begründung führt sie aus, sie habe die Konkursforderung bereits am 31. Oktober 2016 getilgt (act. 2). Mit Verfügung vom 8. November 2016 wurde der Beschwerde einstweilen die aufschiebende Wirkung zuerkannt und die Schuldne- rin darauf hingewiesen, dass innert der Beschwerdefrist auch die Kosten des Konkursamtes sowie des erstinstanzlichen Konkursgerichtes sicherzustellen sind. Zudem wurde der Schuldnerin Frist zur Leistung eines Vorschusses für die Kos- ten des Beschwerdeverfahrens angesetzt (act. 7). Mit Eingabe vom 11. November 2016 belegte die Schuldnerin, dass die Kosten des Konkursverfahrens sowie des erstinstanzlichen Verfahrens beim Konkursamt Aussersihl-Zürich sichergestellt wurden (act. 12/2). Der Kostenvorschuss für das Beschwerdeverfahren wurde ebenfalls fristgerecht geleistet (act. 12/1; act 13). Die Akten der Vorinstanz wur- den beigezogen (act. 6/1-8). Das Verfahren ist spruchreif.</w:t>
      </w:r>
    </w:p>
    <w:p>
      <w:r>
        <w:rPr>
          <w:b/>
        </w:rPr>
        <w:t>E. 2</w:t>
      </w:r>
    </w:p>
    <w:p>
      <w:r>
        <w:t>November 2016 getilgt. Ausserdem stellte die Schuldnerin während laufender Beschwerdefrist die Kosten des Konkursverfahrens und die erstinstanzlichen Ver- fahrenskosten beim Konkursamt sicher (act. 12/2). Damit sind die Voraussetzun- gen für die Aufhebung des Konkurses erfüllt.</w:t>
      </w:r>
    </w:p>
    <w:p>
      <w:r>
        <w:rPr>
          <w:b/>
        </w:rPr>
        <w:t>E. 3</w:t>
      </w:r>
    </w:p>
    <w:p>
      <w:r>
        <w:t>Die Schuldnerin hat es versäumt, die erfolgte Tilgung der Konkursforderung rechtzeitig vor dem Erlass des angefochtenen Urteils dem Konkursgericht mitzu- teilen. Die Mitteilung durch die Gläubigerin ging erst am 3. November 2016 und damit einen Tag nach Konkurseröffnung beim Konkursgericht ein (act. 6/8). Auch wenn die Bezahlung einige Tage vor dem Termin für die Verhandlung über das Konkursbegehren erfolgte, durfte sich die Schuldnerin nicht darauf verlassen, dass eine Teilnahme an der Verhandlung oder eine Mitteilung an das Konkursge- richt nicht mehr erforderlich wäre. Vielmehr war es an ihr, selber auf die erfolgte Tilgung hinzuweisen. Überdies hätten für eine Abweisung des Konkursbegehrens auch die Kosten des Konkursgerichts sichergestellt sein müssen. Darauf hatte die Vorinstanz bereits in ihrer Vorladung hingewiesen (act. 4/1 Ziff. 5). Indem die Schuldnerin die erfolgte Zahlung an die Gläubigerin der Vorinstanz nicht rechtzei- tig zur Kenntnis brachte und es versäumte, die erstinstanzlichen Gerichtskosten rechtzeitig vor dem Konkursverhandlungstermin zu begleichen, hat sie sowohl die erstinstanzliche Konkurseröffnung als auch das Beschwerdeverfahren verursacht. Entsprechend hat sie die Kosten des Beschwerdeverfahrens, die Kosten des erst- instanzlichen Konkursgerichts und die Kosten des Konkursamtes zu tragen. Die</w:t>
      </w:r>
    </w:p>
    <w:p>
      <w:r>
        <w:t>- 4 - Entscheidgebühr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