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PS160210 vom 9. November 2016</w:t>
      </w:r>
    </w:p>
    <w:p>
      <w:r>
        <w:t>ZH Obergericht, 2016-11-09, DE</w:t>
      </w:r>
    </w:p>
    <w:p>
      <w:r>
        <w:rPr>
          <w:b/>
        </w:rPr>
        <w:t xml:space="preserve">Quelle: </w:t>
      </w:r>
      <w:r>
        <w:t>https://mcp.opencaselaw.ch/entscheid/zh_obergericht_PS160210</w:t>
      </w:r>
    </w:p>
    <w:p>
      <w:r>
        <w:t>FR: ZH_OBERGERICHT PS160210 du 9 novembre 2016</w:t>
      </w:r>
    </w:p>
    <w:p>
      <w:r>
        <w:t>IT: ZH_OBERGERICHT PS160210 del 9 novembre 2016</w:t>
      </w:r>
    </w:p>
    <w:p>
      <w:pPr>
        <w:pStyle w:val="Heading2"/>
      </w:pPr>
      <w:r>
        <w:t>Erwägungen</w:t>
      </w:r>
    </w:p>
    <w:p>
      <w:r>
        <w:rPr>
          <w:b/>
        </w:rPr>
        <w:t>E. 1</w:t>
      </w:r>
    </w:p>
    <w:p>
      <w:r>
        <w:t>Der erstinstanzliche Entscheid über die Konkurseröffnung kann innert 10 Tagen mit Beschwerde nach der ZPO angefochten werden (Art. 174 SchKG). Was die Zulässigkeit neuer Tatsachenbehauptungen und Beweismittel betrifft, weicht das SchKG für dieses Beschwerdeverfahren von den allgemeinen zivilpro- zessualen Regeln ab (vgl. Art. 326 ZPO). Neue Tatsachen, die vor dem erstin- stanzlichen Entscheid eingetreten sind, können mit der Beschwerdeschrift ohne Einschränkung geltend gemacht werden. Zudem können mit der Beschwerde- 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w:t>
      </w:r>
    </w:p>
    <w:p>
      <w:r>
        <w:t>- 3 -</w:t>
      </w:r>
    </w:p>
    <w:p>
      <w:r>
        <w:rPr>
          <w:b/>
        </w:rPr>
        <w:t>E. 2</w:t>
      </w:r>
    </w:p>
    <w:p>
      <w:r>
        <w:t>Aufl., Art. 172 N 3, Art. 174 N 10). Der vom Schuldner im Beschwerdeverfahren neu geltend gemachte Konkurshinderungsgrund der Schuldtilgung hat sich somit zum Teil erst nach der Konkurseröffnung verwirklicht. Nach Art. 174 Abs. 2 SchKG wäre deshalb grundsätzlich die Glaubhaftigkeit der Zahlungsfähigkeit des Schuldners zu prüfen. Nach der Praxis der Kammer bleibt jedoch der Umstand, dass die Kosten des Konkursgerichtes und des Konkursamtes erst nach der Kon- kurseröffnung sichergestellt wurden, bei dieser Konstellation unberücksichtigt, so- fern die Schuldtilgung im Übrigen ganz vor der Konkurseröffnung erfolgt ist. Von der Prüfung der Zahlungsfähigkeit wird in diesem Fall abgesehen (vgl. ZR 110/2011 Nr. 79; OGer ZH PS140043 vom 7. März 2014, PS150137 vom 20. Au- gust 2015). Somit sind die Voraussetzungen für die Aufhebung des Konkurses erfüllt. Die Be- schwerde ist gutzuheissen und die Konkurseröffnung aufzuheben.</w:t>
      </w:r>
    </w:p>
    <w:p>
      <w:r>
        <w:rPr>
          <w:b/>
        </w:rPr>
        <w:t>E. 3</w:t>
      </w:r>
    </w:p>
    <w:p>
      <w:r>
        <w:t>Die Kosten beider Instanzen sind dem Schuldner aufzuerlegen. Er hat die Ver- fahren dadurch veranlasst, dass er die in Betreibung gesetzte Forderung erst nach dem Konkursbegehren tilgte, dem Konkursgericht die Tilgung nicht nach- wies und auch die Kosten des Konkursgerichtes nicht rechtzeitig vor der Konkurs- verhandlung sicherstellte.</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